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EED" w:rsidRDefault="00305EED">
      <w:pPr>
        <w:widowControl w:val="0"/>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305EED" w:rsidRDefault="00305EED">
      <w:pPr>
        <w:widowControl w:val="0"/>
        <w:autoSpaceDE w:val="0"/>
        <w:autoSpaceDN w:val="0"/>
        <w:adjustRightInd w:val="0"/>
        <w:jc w:val="center"/>
        <w:rPr>
          <w:rFonts w:ascii="Times New Roman CYR" w:hAnsi="Times New Roman CYR" w:cs="Times New Roman CYR"/>
          <w:sz w:val="28"/>
          <w:szCs w:val="28"/>
        </w:rPr>
      </w:pPr>
    </w:p>
    <w:tbl>
      <w:tblPr>
        <w:tblW w:w="0" w:type="auto"/>
        <w:tblInd w:w="-106" w:type="dxa"/>
        <w:tblBorders>
          <w:top w:val="single" w:sz="6" w:space="0" w:color="auto"/>
          <w:left w:val="single" w:sz="6" w:space="0" w:color="auto"/>
          <w:bottom w:val="single" w:sz="6" w:space="0" w:color="auto"/>
          <w:right w:val="single" w:sz="6" w:space="0" w:color="auto"/>
        </w:tblBorders>
        <w:tblLayout w:type="fixed"/>
        <w:tblLook w:val="0000"/>
      </w:tblPr>
      <w:tblGrid>
        <w:gridCol w:w="5500"/>
      </w:tblGrid>
      <w:tr w:rsidR="00305EED">
        <w:trPr>
          <w:trHeight w:val="300"/>
        </w:trPr>
        <w:tc>
          <w:tcPr>
            <w:tcW w:w="5500" w:type="dxa"/>
            <w:tcBorders>
              <w:top w:val="nil"/>
              <w:left w:val="nil"/>
              <w:bottom w:val="single" w:sz="6" w:space="0" w:color="auto"/>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30.04.2021</w:t>
            </w:r>
          </w:p>
        </w:tc>
      </w:tr>
      <w:tr w:rsidR="00305EED">
        <w:trPr>
          <w:trHeight w:val="300"/>
        </w:trPr>
        <w:tc>
          <w:tcPr>
            <w:tcW w:w="55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305EED">
        <w:trPr>
          <w:trHeight w:val="300"/>
        </w:trPr>
        <w:tc>
          <w:tcPr>
            <w:tcW w:w="5500" w:type="dxa"/>
            <w:tcBorders>
              <w:top w:val="nil"/>
              <w:left w:val="nil"/>
              <w:bottom w:val="single" w:sz="6" w:space="0" w:color="auto"/>
              <w:right w:val="nil"/>
            </w:tcBorders>
            <w:vAlign w:val="bottom"/>
          </w:tcPr>
          <w:p w:rsidR="00305EED" w:rsidRPr="000911CD" w:rsidRDefault="00305EED">
            <w:pPr>
              <w:widowControl w:val="0"/>
              <w:autoSpaceDE w:val="0"/>
              <w:autoSpaceDN w:val="0"/>
              <w:adjustRightInd w:val="0"/>
              <w:rPr>
                <w:rFonts w:ascii="Times New Roman CYR" w:hAnsi="Times New Roman CYR" w:cs="Times New Roman CYR"/>
                <w:lang w:val="en-US"/>
              </w:rPr>
            </w:pPr>
            <w:r>
              <w:rPr>
                <w:rFonts w:ascii="Times New Roman CYR" w:hAnsi="Times New Roman CYR" w:cs="Times New Roman CYR"/>
              </w:rPr>
              <w:t>№ 30</w:t>
            </w:r>
            <w:r>
              <w:rPr>
                <w:rFonts w:ascii="Times New Roman CYR" w:hAnsi="Times New Roman CYR" w:cs="Times New Roman CYR"/>
                <w:lang w:val="en-US"/>
              </w:rPr>
              <w:t>-</w:t>
            </w:r>
            <w:r>
              <w:rPr>
                <w:rFonts w:ascii="Times New Roman CYR" w:hAnsi="Times New Roman CYR" w:cs="Times New Roman CYR"/>
              </w:rPr>
              <w:t>04</w:t>
            </w:r>
            <w:r>
              <w:rPr>
                <w:rFonts w:ascii="Times New Roman CYR" w:hAnsi="Times New Roman CYR" w:cs="Times New Roman CYR"/>
                <w:lang w:val="en-US"/>
              </w:rPr>
              <w:t>/1</w:t>
            </w:r>
          </w:p>
        </w:tc>
      </w:tr>
      <w:tr w:rsidR="00305EED">
        <w:trPr>
          <w:trHeight w:val="300"/>
        </w:trPr>
        <w:tc>
          <w:tcPr>
            <w:tcW w:w="55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305EED" w:rsidRDefault="00305EED">
      <w:pPr>
        <w:widowControl w:val="0"/>
        <w:autoSpaceDE w:val="0"/>
        <w:autoSpaceDN w:val="0"/>
        <w:adjustRightInd w:val="0"/>
        <w:rPr>
          <w:rFonts w:ascii="Times New Roman CYR" w:hAnsi="Times New Roman CYR" w:cs="Times New Roman CYR"/>
          <w:sz w:val="20"/>
          <w:szCs w:val="20"/>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sz w:val="20"/>
          <w:szCs w:val="20"/>
        </w:rPr>
        <w:tab/>
      </w:r>
      <w:r>
        <w:rPr>
          <w:rFonts w:ascii="Times New Roman CYR" w:hAnsi="Times New Roman CYR" w:cs="Times New Roman CYR"/>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305EED" w:rsidRDefault="00305EED">
      <w:pPr>
        <w:widowControl w:val="0"/>
        <w:autoSpaceDE w:val="0"/>
        <w:autoSpaceDN w:val="0"/>
        <w:adjustRightInd w:val="0"/>
        <w:jc w:val="both"/>
        <w:rPr>
          <w:rFonts w:ascii="Times New Roman CYR" w:hAnsi="Times New Roman CYR" w:cs="Times New Roman CYR"/>
        </w:rPr>
      </w:pPr>
    </w:p>
    <w:tbl>
      <w:tblPr>
        <w:tblW w:w="0" w:type="auto"/>
        <w:tblInd w:w="-106" w:type="dxa"/>
        <w:tblBorders>
          <w:top w:val="single" w:sz="6" w:space="0" w:color="auto"/>
          <w:left w:val="single" w:sz="6" w:space="0" w:color="auto"/>
          <w:bottom w:val="single" w:sz="6" w:space="0" w:color="auto"/>
          <w:right w:val="single" w:sz="6" w:space="0" w:color="auto"/>
        </w:tblBorders>
        <w:tblLayout w:type="fixed"/>
        <w:tblLook w:val="0000"/>
      </w:tblPr>
      <w:tblGrid>
        <w:gridCol w:w="3640"/>
        <w:gridCol w:w="236"/>
        <w:gridCol w:w="1354"/>
        <w:gridCol w:w="236"/>
        <w:gridCol w:w="4654"/>
      </w:tblGrid>
      <w:tr w:rsidR="00305EED">
        <w:trPr>
          <w:trHeight w:val="200"/>
        </w:trPr>
        <w:tc>
          <w:tcPr>
            <w:tcW w:w="3640" w:type="dxa"/>
            <w:tcBorders>
              <w:top w:val="nil"/>
              <w:left w:val="nil"/>
              <w:bottom w:val="single" w:sz="6" w:space="0" w:color="auto"/>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Голова правлiння</w:t>
            </w:r>
          </w:p>
        </w:tc>
        <w:tc>
          <w:tcPr>
            <w:tcW w:w="216" w:type="dxa"/>
            <w:tcBorders>
              <w:top w:val="nil"/>
              <w:left w:val="nil"/>
              <w:bottom w:val="nil"/>
              <w:right w:val="nil"/>
            </w:tcBorders>
          </w:tcPr>
          <w:p w:rsidR="00305EED" w:rsidRDefault="00305EED">
            <w:pPr>
              <w:widowControl w:val="0"/>
              <w:autoSpaceDE w:val="0"/>
              <w:autoSpaceDN w:val="0"/>
              <w:adjustRightInd w:val="0"/>
              <w:jc w:val="center"/>
              <w:rPr>
                <w:rFonts w:ascii="Times New Roman CYR" w:hAnsi="Times New Roman CYR" w:cs="Times New Roman CYR"/>
              </w:rPr>
            </w:pPr>
          </w:p>
        </w:tc>
        <w:tc>
          <w:tcPr>
            <w:tcW w:w="1354" w:type="dxa"/>
            <w:tcBorders>
              <w:top w:val="nil"/>
              <w:left w:val="nil"/>
              <w:bottom w:val="single" w:sz="6" w:space="0" w:color="auto"/>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c>
          <w:tcPr>
            <w:tcW w:w="216" w:type="dxa"/>
            <w:tcBorders>
              <w:top w:val="nil"/>
              <w:left w:val="nil"/>
              <w:bottom w:val="nil"/>
              <w:right w:val="nil"/>
            </w:tcBorders>
          </w:tcPr>
          <w:p w:rsidR="00305EED" w:rsidRDefault="00305EED">
            <w:pPr>
              <w:widowControl w:val="0"/>
              <w:autoSpaceDE w:val="0"/>
              <w:autoSpaceDN w:val="0"/>
              <w:adjustRightInd w:val="0"/>
              <w:jc w:val="center"/>
              <w:rPr>
                <w:rFonts w:ascii="Times New Roman CYR" w:hAnsi="Times New Roman CYR" w:cs="Times New Roman CYR"/>
              </w:rPr>
            </w:pPr>
          </w:p>
        </w:tc>
        <w:tc>
          <w:tcPr>
            <w:tcW w:w="4654" w:type="dxa"/>
            <w:tcBorders>
              <w:top w:val="nil"/>
              <w:left w:val="nil"/>
              <w:bottom w:val="single" w:sz="6" w:space="0" w:color="auto"/>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Шалiмов Володимир Iллiч</w:t>
            </w:r>
          </w:p>
        </w:tc>
      </w:tr>
      <w:tr w:rsidR="00305EED">
        <w:trPr>
          <w:trHeight w:val="200"/>
        </w:trPr>
        <w:tc>
          <w:tcPr>
            <w:tcW w:w="3640" w:type="dxa"/>
            <w:tcBorders>
              <w:top w:val="nil"/>
              <w:left w:val="nil"/>
              <w:bottom w:val="nil"/>
              <w:right w:val="nil"/>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p>
        </w:tc>
        <w:tc>
          <w:tcPr>
            <w:tcW w:w="1354" w:type="dxa"/>
            <w:tcBorders>
              <w:top w:val="nil"/>
              <w:left w:val="nil"/>
              <w:bottom w:val="nil"/>
              <w:right w:val="nil"/>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p>
        </w:tc>
        <w:tc>
          <w:tcPr>
            <w:tcW w:w="4654" w:type="dxa"/>
            <w:tcBorders>
              <w:top w:val="nil"/>
              <w:left w:val="nil"/>
              <w:bottom w:val="nil"/>
              <w:right w:val="nil"/>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305EED" w:rsidRDefault="00305EED">
      <w:pPr>
        <w:widowControl w:val="0"/>
        <w:autoSpaceDE w:val="0"/>
        <w:autoSpaceDN w:val="0"/>
        <w:adjustRightInd w:val="0"/>
        <w:rPr>
          <w:rFonts w:ascii="Times New Roman CYR" w:hAnsi="Times New Roman CYR" w:cs="Times New Roman CYR"/>
          <w:sz w:val="20"/>
          <w:szCs w:val="20"/>
        </w:rPr>
      </w:pP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Річна інформація емітента цінних паперів за 2020 рік</w:t>
      </w:r>
    </w:p>
    <w:p w:rsidR="00305EED" w:rsidRDefault="00305EED">
      <w:pPr>
        <w:widowControl w:val="0"/>
        <w:autoSpaceDE w:val="0"/>
        <w:autoSpaceDN w:val="0"/>
        <w:adjustRightInd w:val="0"/>
        <w:jc w:val="center"/>
        <w:rPr>
          <w:rFonts w:ascii="Times New Roman CYR" w:hAnsi="Times New Roman CYR" w:cs="Times New Roman CYR"/>
          <w:b/>
          <w:bCs/>
        </w:rPr>
      </w:pP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I. Загальні відомості</w:t>
      </w:r>
    </w:p>
    <w:p w:rsidR="00305EED" w:rsidRDefault="00305EED">
      <w:pPr>
        <w:widowControl w:val="0"/>
        <w:autoSpaceDE w:val="0"/>
        <w:autoSpaceDN w:val="0"/>
        <w:adjustRightInd w:val="0"/>
        <w:jc w:val="center"/>
        <w:rPr>
          <w:rFonts w:ascii="Times New Roman CYR" w:hAnsi="Times New Roman CYR" w:cs="Times New Roman CYR"/>
          <w:b/>
          <w:bCs/>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Повне найменування емітента: ПРИВАТНЕ АКЦIОНЕРНЕ ТОВАРИСТВО "АГРОБУДМЕХАНIЗАЦIЯ"</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Організаційно-правова форма: Акціонерне товариство</w:t>
      </w:r>
    </w:p>
    <w:p w:rsidR="00305EED" w:rsidRPr="00812439" w:rsidRDefault="00305EED">
      <w:pPr>
        <w:widowControl w:val="0"/>
        <w:autoSpaceDE w:val="0"/>
        <w:autoSpaceDN w:val="0"/>
        <w:adjustRightInd w:val="0"/>
        <w:rPr>
          <w:rFonts w:ascii="Times New Roman CYR" w:hAnsi="Times New Roman CYR" w:cs="Times New Roman CYR"/>
          <w:lang w:val="en-US"/>
        </w:rPr>
      </w:pPr>
      <w:r>
        <w:rPr>
          <w:rFonts w:ascii="Times New Roman CYR" w:hAnsi="Times New Roman CYR" w:cs="Times New Roman CYR"/>
        </w:rPr>
        <w:t xml:space="preserve">3. Ідентифікаційний код юридичної особи: </w:t>
      </w:r>
      <w:r>
        <w:rPr>
          <w:rFonts w:ascii="Times New Roman CYR" w:hAnsi="Times New Roman CYR" w:cs="Times New Roman CYR"/>
          <w:lang w:val="en-US"/>
        </w:rPr>
        <w:t xml:space="preserve"> </w:t>
      </w:r>
      <w:r w:rsidRPr="00812439">
        <w:rPr>
          <w:rFonts w:ascii="Times New Roman CYR" w:hAnsi="Times New Roman CYR" w:cs="Times New Roman CYR"/>
          <w:b/>
          <w:bCs/>
        </w:rPr>
        <w:t>13708491</w:t>
      </w:r>
      <w:bookmarkStart w:id="0" w:name="_GoBack"/>
      <w:bookmarkEnd w:id="0"/>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Місцезнаходження: 08304, Україна, Київська обл., д/н р-н, Бориспiль, Привокзальна, будинок 76-А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5. Міжміський код, телефон та факс: (04595)-7-10-27, (04595)-7-25-84</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6. Адреса електронної пошти: agrobudmekh@ukr.net</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 Рішення наглядової ради емітента від 30.04.2021, б/н</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імені учасника фондового ринку (у разі здійснення оприлюднення): </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II. Дані про дату та місце оприлюднення річної інформації</w:t>
      </w:r>
    </w:p>
    <w:p w:rsidR="00305EED" w:rsidRDefault="00305EED">
      <w:pPr>
        <w:widowControl w:val="0"/>
        <w:autoSpaceDE w:val="0"/>
        <w:autoSpaceDN w:val="0"/>
        <w:adjustRightInd w:val="0"/>
        <w:jc w:val="center"/>
        <w:rPr>
          <w:rFonts w:ascii="Times New Roman CYR" w:hAnsi="Times New Roman CYR" w:cs="Times New Roman CYR"/>
          <w:b/>
          <w:bCs/>
        </w:rPr>
      </w:pPr>
    </w:p>
    <w:tbl>
      <w:tblPr>
        <w:tblW w:w="0" w:type="auto"/>
        <w:tblInd w:w="-106" w:type="dxa"/>
        <w:tblBorders>
          <w:top w:val="single" w:sz="6" w:space="0" w:color="auto"/>
          <w:left w:val="single" w:sz="6" w:space="0" w:color="auto"/>
          <w:bottom w:val="single" w:sz="6" w:space="0" w:color="auto"/>
          <w:right w:val="single" w:sz="6" w:space="0" w:color="auto"/>
        </w:tblBorders>
        <w:tblLayout w:type="fixed"/>
        <w:tblLook w:val="0000"/>
      </w:tblPr>
      <w:tblGrid>
        <w:gridCol w:w="4450"/>
        <w:gridCol w:w="4130"/>
        <w:gridCol w:w="1500"/>
      </w:tblGrid>
      <w:tr w:rsidR="00305EED">
        <w:trPr>
          <w:trHeight w:val="300"/>
        </w:trPr>
        <w:tc>
          <w:tcPr>
            <w:tcW w:w="4450" w:type="dxa"/>
            <w:vMerge w:val="restart"/>
            <w:tcBorders>
              <w:top w:val="nil"/>
              <w:left w:val="nil"/>
              <w:bottom w:val="nil"/>
              <w:right w:val="nil"/>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Річну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http://agrobudmeh.com/</w:t>
            </w:r>
          </w:p>
        </w:tc>
        <w:tc>
          <w:tcPr>
            <w:tcW w:w="1500" w:type="dxa"/>
            <w:tcBorders>
              <w:top w:val="nil"/>
              <w:left w:val="nil"/>
              <w:bottom w:val="single" w:sz="6" w:space="0" w:color="auto"/>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30.04.2021</w:t>
            </w:r>
          </w:p>
        </w:tc>
      </w:tr>
      <w:tr w:rsidR="00305EED">
        <w:trPr>
          <w:trHeight w:val="300"/>
        </w:trPr>
        <w:tc>
          <w:tcPr>
            <w:tcW w:w="4450" w:type="dxa"/>
            <w:vMerge/>
            <w:tcBorders>
              <w:top w:val="nil"/>
              <w:left w:val="nil"/>
              <w:bottom w:val="nil"/>
              <w:right w:val="nil"/>
            </w:tcBorders>
          </w:tcPr>
          <w:p w:rsidR="00305EED" w:rsidRDefault="00305EED">
            <w:pPr>
              <w:widowControl w:val="0"/>
              <w:autoSpaceDE w:val="0"/>
              <w:autoSpaceDN w:val="0"/>
              <w:adjustRightInd w:val="0"/>
              <w:rPr>
                <w:rFonts w:ascii="Times New Roman CYR" w:hAnsi="Times New Roman CYR" w:cs="Times New Roman CYR"/>
                <w:sz w:val="20"/>
                <w:szCs w:val="20"/>
              </w:rPr>
            </w:pPr>
          </w:p>
        </w:tc>
        <w:tc>
          <w:tcPr>
            <w:tcW w:w="413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305EED" w:rsidRDefault="00305EED">
      <w:pPr>
        <w:widowControl w:val="0"/>
        <w:autoSpaceDE w:val="0"/>
        <w:autoSpaceDN w:val="0"/>
        <w:adjustRightInd w:val="0"/>
        <w:rPr>
          <w:rFonts w:ascii="Times New Roman CYR" w:hAnsi="Times New Roman CYR" w:cs="Times New Roman CYR"/>
          <w:sz w:val="20"/>
          <w:szCs w:val="20"/>
        </w:rPr>
        <w:sectPr w:rsidR="00305EED">
          <w:pgSz w:w="12240" w:h="15840"/>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b/>
          <w:bCs/>
          <w:sz w:val="28"/>
          <w:szCs w:val="28"/>
        </w:rPr>
        <w:t>Зміст</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sz w:val="28"/>
          <w:szCs w:val="28"/>
        </w:rPr>
        <w:tab/>
      </w:r>
      <w:r>
        <w:rPr>
          <w:rFonts w:ascii="Times New Roman CYR" w:hAnsi="Times New Roman CYR" w:cs="Times New Roman CYR"/>
        </w:rPr>
        <w:t>Відмітьте (Х), якщо відповідна інформація міститься у річній інформації</w:t>
      </w:r>
    </w:p>
    <w:tbl>
      <w:tblPr>
        <w:tblW w:w="0" w:type="auto"/>
        <w:tblInd w:w="-106" w:type="dxa"/>
        <w:tblBorders>
          <w:top w:val="single" w:sz="6" w:space="0" w:color="auto"/>
          <w:left w:val="single" w:sz="6" w:space="0" w:color="auto"/>
          <w:bottom w:val="single" w:sz="6" w:space="0" w:color="auto"/>
          <w:right w:val="single" w:sz="6" w:space="0" w:color="auto"/>
        </w:tblBorders>
        <w:tblLayout w:type="fixed"/>
        <w:tblLook w:val="0000"/>
      </w:tblPr>
      <w:tblGrid>
        <w:gridCol w:w="9000"/>
        <w:gridCol w:w="1000"/>
      </w:tblGrid>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Основні відомості про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Інформація про одержані ліцензії (дозволи) на окремі види діяльності</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Відомості про участь емітента в інших юридичних особах</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Інформація щодо корпоративного секретаря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5. Інформація про рейтингове агентство</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6. Інформація про наявність філіалів або інших відокремлених структурних підрозділів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7. Судові справи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8. Штрафні санкції щодо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 Опис бізнесу</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інформація про органи управління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інформація про посадових осіб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щодо освіти та стажу роботи посадових осіб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про володіння посадовими особами емітента акціями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про будь-які винагороди або компенсації, які мають бути виплачені посадовим особам емітента в разі їх звільнення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інформація про засновників та/або учасників емітента, відсоток акцій (часток, паїв)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11. Звіт керівництва (звіт про управління)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вірогідні перспективи подальшого розвитку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інформація про розвиток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про схильність емітента до цінових ризиків, кредитного ризику, ризику ліквідності та/або ризику грошових потоків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звіт про корпоративне управління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власний кодекс корпоративного управління, яким керується емітент</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про практику корпоративного управління, застосовувану понад визначені законодавством вимоги</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про проведені загальні збори акціонерів (учасників)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про наглядову раду</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про виконавчий орган</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опис основних характеристик систем внутрішнього контролю і управління ризиками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перелік осіб, які прямо або опосередковано є власниками значного пакета акцій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інформація про будь-які обмеження прав участі та голосування акціонерів (учасників) на загальних зборах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порядок призначення та звільнення посадових осіб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повноваження посадових осіб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12. Інформація про власників пакетів 5 і більше відсотків акцій із зазначенням відсотка, кількості, типу та/або класу належних їм акцій</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інформація про випуски акцій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інформація про облігації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інформація про інші цінні папери, випущені емітентом</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інформація про похідні цінні папери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5) інформація про забезпечення випуску боргових цінних паперів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6) інформація про придбання власних акцій емітентом протягом звітного періоду</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19. Інформація про наявність у власності працівників емітента цінних паперів (крім акцій) такого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23. Інформація про виплату дивідендів та інших доходів за цінними паперами</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24. Інформація про господарську та фінансову діяльність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інформація про основні засоби емітента (за залишковою вартістю)</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інформація щодо вартості чистих активів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інформація про зобов'язання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5) інформація про собівартість реалізованої продукції</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6) інформація про осіб, послугами яких користується емітент</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25. Інформація про прийняття рішення про попереднє надання згоди на вчинення значних правочинів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 Інформація про вчинення значних правочинів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27. Інформація про вчинення правочинів, щодо вчинення яких є заінтересованість</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29. Річна фінансова звітність</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30.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32. Твердження щодо річної інформації</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33. Інформація про акціонерні або корпоративні договори, укладені акціонерами (учасниками) такого емітента, яка наявна в емітента</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34. Інформація про будь-які договори та/або правочини, умовою чинності яких є незмінність осіб, які здійснюють контроль над емітентом</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35. Відомості щодо особливої інформації та інформації про іпотечні цінні папери, що виникала протягом звітного періоду</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36. Інформація про випуски іпотечних облігацій</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37. Інформація про склад, структуру і розмір іпотечного покриття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39. Інформація про випуски іпотечних сертифікатів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40. Інформація щодо реєстру іпотечних активів</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41. Основні відомості про ФОН</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42. Інформація про випуски сертифікатів ФОН</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43. Інформація про осіб, що володіють сертифікатами ФОН</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44. Розрахунок вартості чистих активів ФОН</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9000" w:type="dxa"/>
            <w:tcBorders>
              <w:top w:val="nil"/>
              <w:left w:val="nil"/>
              <w:bottom w:val="nil"/>
              <w:right w:val="nil"/>
            </w:tcBorders>
            <w:vAlign w:val="bottom"/>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45. Правила ФОН</w:t>
            </w:r>
          </w:p>
        </w:tc>
        <w:tc>
          <w:tcPr>
            <w:tcW w:w="1000" w:type="dxa"/>
            <w:tcBorders>
              <w:top w:val="nil"/>
              <w:left w:val="nil"/>
              <w:bottom w:val="nil"/>
              <w:right w:val="nil"/>
            </w:tcBorders>
            <w:vAlign w:val="bottom"/>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10000" w:type="dxa"/>
            <w:gridSpan w:val="2"/>
            <w:tcBorders>
              <w:top w:val="nil"/>
              <w:left w:val="nil"/>
              <w:bottom w:val="nil"/>
              <w:right w:val="nil"/>
            </w:tcBorders>
            <w:vAlign w:val="bottom"/>
          </w:tcPr>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46. Примітки:</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 Iнформацiя про одержанi лiцензiї (дозволи) на окремi види дiяльностi для приватних акцiонерних товариств не розкривається. - Iнформацiя щодо посади корпоративного секретаря (для акцiонерних товариств) - посада корпоративного секретаря вiдсутня. -  Iнформацiї про рейтингове агентство немає у зв'язку з тим, що емiтент рейтингову оцiнку не проводив i до рейтингового агентства не звертався. -  Емiтента немає фiлiалiв або iнших вiдокремлених структурних пiдроздiлiв. -  Судових справ та штрафних санкцiй щодо Емiтента за звiтнiй перiод не було.  -  Iнформацiя про юридичних осiб - засновникiв та/або учасникiв емiтента  не надається у зв'язку з тим, що юридичнi особи - засновники та/або учасники емiтента не є акцiонерами на кiнець звiтного перiоду. -  Фiзичних осiб - засновникiв та/або учасникiв у емiтента  немає. - Будь-якi винагороди або компенсацiї, протягом звiтного року не виплачувались посадовим особам емiтента в разi їх звiльнення. iнформацiя про будь-якi обмеження прав участi та голосування акцiонерiв (учасникiв) на загальних зборах емiтента вiдсутня; - Посадовi особи не володiють акцiями емiтента. -  Фiзичних осiб, що володiють 5 i бiльше вiдсотками акцiй емiтента немає. -  Iнформацiї про змiну акцiонерiв, яким належать голосуючi акцiї, розмiр пакета яких стає бiльшим, меншим або рiвним пороговому значенню пакета акцiй - немає. - Товариство облiгацiї, похiднi та iншi цiннi папери не випускало. - Iнформацiя про зобов'язання емiтента за кредитами, облiгацiями, iпотечними цiнними паперами, сертифiкатами ФОН, похiдними та iншими цiнними паперами - вiдсутня. - Товариство викуп та продаж ранiше викуплених товариством власних акцiй протягом звiтного перiоду не проводило. - Iнформацiї про наявнiсть у власностi працiвникiв емiтента цiнних паперiв (крiм акцiй) такого емiтента немає. - Iнформацiї про наявнiсть у власностi працiвникiв емiтента акцiй у статутному капiталi емiтента немає. - Iнформацiї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паперiв немає. - Iнформацiї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 не надається, тому, що згiдно даних, наданих Нацiональним депозитарiєм  станом на дату складання перелiку акцiонерiв, якi мають право на участь у загальних зборах - вказанi обмеження не зареєстрованi. - Iнформацiя про обсяги виробництва та реалiзацiї основних видiв продукцiї та iнформацiя про собiвартiсть реалiзованої продукцiї не подається, у зв'язку з тим, що Товариство займається видами  дiяльностi, якi не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 Iнформацiя про виплату дивiдендiв та iнших доходiв за цiнними паперами вiдсутня. - Iнформацiї про акцiонернi або корпоративнi договори, укладенi акцiонерами  емiтента, немає. - Iнформацiї про будь-якi договори та/або правочини, умовою чинностi яких є незмiннiсть осiб, якi здiйснюють контроль над емiтентом - немає. - У емiтента немає копiй документiв, якi знаходяться в публiчному доступi. - В зв'язку з тим, що поле "Дата" не передбачає вiдсутнiсть запису, то у разi, якщо подiя не вiдбувалась, це поле заповнено датою, що є неймовiрною для таких подiй, а саме: 01.01.1900.  Незаповненi графи звiту емiтента вважати такими, що мають "нульове" значення, або свiдчать про вiдсутнiсть подiї.</w:t>
            </w:r>
          </w:p>
        </w:tc>
      </w:tr>
    </w:tbl>
    <w:p w:rsidR="00305EED" w:rsidRDefault="00305EED">
      <w:pPr>
        <w:widowControl w:val="0"/>
        <w:autoSpaceDE w:val="0"/>
        <w:autoSpaceDN w:val="0"/>
        <w:adjustRightInd w:val="0"/>
        <w:rPr>
          <w:rFonts w:ascii="Times New Roman CYR" w:hAnsi="Times New Roman CYR" w:cs="Times New Roman CYR"/>
        </w:rPr>
        <w:sectPr w:rsidR="00305EED">
          <w:pgSz w:w="12240" w:h="15840"/>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ІІІ. Основні відомості про емітента</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1. Повне найменування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ПРИВАТНЕ АКЦIОНЕРНЕ ТОВАРИСТВО "АГРОБУДМЕХАНIЗАЦIЯ"</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2. Скорочене найменування (за наявності)</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ПрАТ "Агробудмеханiзацiя"</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3. Дата проведення державної реєстрації</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14.05.1996</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4. Територія (область)</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Київська обл.</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5. Статутний капітал (грн) </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422425,08</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6. Відсоток акцій у статутному капіталі, що належать державі</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0</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0</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8. Середня кількість працівників (осіб)</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347</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9. Основні види діяльності із зазначенням найменування виду діяльності та коду за КВЕД</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41.20 - Будiвництво житлових i нежитлових будiвель</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43.22 - Монтаж водопровiдних мереж, систем опалення та кондицiонування</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46.39 - Неспецiалiзована оптова торгiвля продуктами харчування, напоями та тютюновими виробами</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10. Банки, що обслуговують емітента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найменування банку (філії, відділення банку), який обслуговує емітента за поточним рахунком у національній валюті</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АКЦIОНЕРНЕ ТОВАРИСТВО КОМЕРЦIЙНИЙ БАНК "ПРИВАТБАНК", МФО 305299</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IBAN</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UA403052990000026003040116545</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поточний рахунок</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UA403052990000026003040116545</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найменування банку (філії, відділення банку), який обслуговує емітента за поточним рахунком у іноземній валюті</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АКЦIОНЕРНЕ ТОВАРИСТВО "СБЕРБАНК", МФО 320627</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5) IBAN</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UA963206270000026002013013931</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6) поточний рахунок</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UA963206270000026002013013931</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12. Відомості про участь емітента в інших юридичних особах</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Найменування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Дочiрнє пiдприємство "Агробудмеханiзацiя-Житлосервiс"</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Організаційно-правова форма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Дочірнє підприємство</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Ідентифікаційний код юридичної особи</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34783323</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Місцезнаходження</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08304, Україна, Київська область, мiсто Бориспiль, вулиця Привокзальна, 76-А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5) Опис </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Товариство є засновником  та власником дочiрнього пiдприємства "Агробудмеханiзацiя-Житлосервiс", володiє  100% Статутного капiталу дочiрнього пiдприємства "Агробудмеханiзацiя-Житлосервiс", що складає 35 915 (тридцять п'ять тисяч дев'ятсот п'ятнадцять) гривень 00 копiйок. Оплата 100% частки у статутному капiталi дочiрнього пiдприємства "Агробудмеханiзацiя-Житлосервiс" здiйснена в повному обсязi. Товариству належать наступнi права: участь в управлiннi дочiрнiм пiдприємством "Агробудмеханiзацiя-Житлосервiс", одержання прибутку вiд дiяльностi дочiрнього пiдприємства "Агробудмеханiзацiя-Житлосервiс", розпорядження майном дочiрнього пiдприємства "Агробудмеханiзацiя-Житлосервiс", iншi права, передбаченi актами законодавства та статутом дочiрнього пiдприємства "Агробудмеханiзацiя-Житлосервiс".</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Найменування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Дочiрнє пiдприємство "Агробуд"</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Організаційно-правова форма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Дочірнє підприємство</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Ідентифікаційний код юридичної особи</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32054612</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Місцезнаходження</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08340, Україна, Київська область, Бориспiльський район, село Гнiдин, вулиця Центральна, будинок 43-А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5) Опис </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Товариство є засновником та власником дочiрнього пiдприємства "Агробуд", володiє 100% Статутного капiталу дочiрнього пiдприємства "Агробуд", що складає 17 000 (сiмнадцять тисяч) гривень 00 копiйок. Оплата 100% частки у статутному капiталi дочiрнього пiдприємства "Агробуд"  здiйснена в повному обсязi. Товариству належать наступнi права: участь в управлiннi дочiрнiм пiдприємством "Агробуд", одержання прибутку вiд дiяльностi дочiрнього пiдприємства "Агробуд", розпорядження майном дочiрнього пiдприємства "Агробуд", iншi права, передбаченi актами законодавства та статутом дочiрнього пiдприємства "Агробуд".</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Найменування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Товариство з обмеженою вiдповiдальнiстю "БУДIНВЕСТТЕХНОIНДУСТРIЯ ХХI СТОЛIТТЯ"</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Організаційно-правова форма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Товариство з обмеженою відповідальністю</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Ідентифікаційний код юридичної особи</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35023058</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Місцезнаходження</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08300, Україна, Київська область, мiсто Бориспiль, вулиця Привокзальна, будинок 76-А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5) Опис </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Товариство є засновником  та власником товариства з обмеженою вiдповiдальнiстю "БУДIНВЕСТТЕХНОIНДУСТРIЯ ХХI СТОЛIТТЯ" , володiє 80% Статутного капiталу товариства з обмеженою вiдповiдальнiстю "БУДIНВЕСТТЕХНОIНДУСТРIЯ ХХI СТОЛIТТЯ", що складає 33 600 (тридцять три тисячi шiстсот) гривень. Оплата вартостi 80% частки у статутному капiталi товариства з обмеженою вiдповiдальнiстю "БУДIНВЕСТТЕХНОIНДУСТРIЯ ХХI СТОЛIТТЯ"  здiйснена в повному обсязi. Товариству належать наступнi права: участь в управлiннi товариством з обмеженою вiдповiдальнiстю "БУДIНВЕСТТЕХНОIНДУСТРIЯ ХХI СТОЛIТТЯ, участь в розподiлi прибутку вiд дiяльностi товариства з обмеженою вiдповiдальнiстю "БУДIНВЕСТ-ТЕХНОIНДУСТРIЯ ХХI СТОЛIТТЯ, розпорядження майном товариства з обмеженою вiдповiдальнiстю "БУДIНВЕСТТЕХНОIНДУСТРIЯ ХХI СТОЛIТТЯ, iншi права, передбаченi актами законодавства та статутом товариства з обмеженою вiдповiдальнiстю "БУДIНВЕСТ-ТЕХНОIНДУСТРIЯ ХХI СТОЛIТТЯ.</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 Найменування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Концерн "Київоблмiськбуд"</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 Організаційно-правова форма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Концерн</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 Ідентифікаційний код юридичної особи</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32218604</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4) Місцезнаходження</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08304, Україна, Київська обл., мiсто Бориспiль, вулиця Привокзальна,  будинок76-А</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5) Опис </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t>Товариство є учасником Концерну "Київоблмiськбуд", володiє  20% Статутного капiталу Концерну "Київоблмiськбуд", що складає 5  000 (п'ять тисяч) гривень 00 копiйок. Оплата 20% частки у статутному капiталi Концерну "Київоблмiськбуд" здiйснена в повному обсязi. Товариству належать наступнi права: самостiйно вiд свого iменi укладати договори з iншими учасниками, Концерном, а також з iншими пiдприємствами, установами та органiзацiями; вносити на розгляд загальних зборiв учасникiв Концерну пропозицiї щодо напрямiв його дiяльностi та одержувати необхiдну iнформацiю;одержувати в разi потреби вiд Концерну фiнансову та iншу допомогу з метою пiдвищення ефективностi своєї дiяльностi, iншi права, передбаченi актами законодавства та статутом Концерну "Київоблмiськбуд"</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XI. Опис бізнесу</w:t>
      </w:r>
    </w:p>
    <w:p w:rsidR="00305EED" w:rsidRDefault="00305EED">
      <w:pPr>
        <w:widowControl w:val="0"/>
        <w:autoSpaceDE w:val="0"/>
        <w:autoSpaceDN w:val="0"/>
        <w:adjustRightInd w:val="0"/>
        <w:jc w:val="center"/>
        <w:rPr>
          <w:rFonts w:ascii="Times New Roman CYR" w:hAnsi="Times New Roman CYR" w:cs="Times New Roman CYR"/>
          <w:b/>
          <w:bCs/>
          <w:sz w:val="28"/>
          <w:szCs w:val="28"/>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Зміни в організаційній структурі відповідно до попередніх звітних періодів</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Протягом звiтного року змiн в органiзацiйнiй структурi не вiдбувалось.</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Середньооблiкова чисельнiсть штатних працiвникiв облiкового складу 347 осiб.  Середня чисельнiсть осiб, якi працюють за сумiсництвом 3 особи.  Чисельнiсть працiвникiв, якi працюють на умовах неповного робочого часу (дня, тижня) 11 осiб.  Фонд оплати працi: 22 747.0 тис. грн.  Факти змiни розмiру фонду оплати працi, його збiльшення або зменшення вiдносно попереднього року: Фонд опати працi збiльшився вiдносно попереднього перiоду на 1 718.0 тис. грн.  Рiвень фахової пiдготовки i кiлькiсть працiвникiв вiдповiдають виробничим потребам емiтента. У звiтному перiодi Товариство проводило заходи, спрямованi на пiдвищення фахового рiвня працiвникiв - 84 працiвникiв на суму 111.1 тис.грн.</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Товариство не входить до об'єднаннь.</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Cпільна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Спiльної дiяльностi у Товариства з iншими органiзацiями, пiдприємствами, установами у звiтному перiодi не було.</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Будь-які пропозиції щодо реорганізації з боку третіх осіб, що мали місце протягом звітного періоду, умови та результати цих пропозицій</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Пропозицiї щодо реорганiзацiї з боку третiх осiб не надходили.</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Ведення бухгалтерського облiку здiйснюється вiдповiдно до вимог Закону України вiд 16.07.99р. №996-ХIV "Про бухгалтерський облiк та фiнансову звiтнiсть в Українi", положень (стандартiв) бухгалтерського облiку та iнших нормативних актiв Мiнiстерства фiнансiв України щодо органiзацiї бухгалтерського облiку в Українi. Товариство вiдображає господарськi операцiї у реєстрах згiдно з "Методичними рекомендацiями по застосуванню регiстрiв бухгалтерського облiку", затвердженими наказом Мiнiстерства фiнансiв України №356 вiд 29.12.2000р. Бухгалтерська звiтнiсть вiдображає наростаючим пiдсумком майнове та фiнансове становище за звiтний перiод i грунтується на даних синтетичного та аналiтичного облiку. Для вiдображення у бухгалтерському облiку i звiтностi господарськi операцiї оцiнюють в нацiональнiй грошовiй одиницi України способом пiдсумовування проведених витрат.</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 xml:space="preserve">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 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 </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Дiяльнiсть ПрАТ "Агробудмеханiзацiя" щодо розширення виробництва, полiпшення фiнансового стану спрямована на технiчне переоснащення виробництва, оновлення основних засобiв i виробничих потужностей, дотримання чинного законодавства, в тому числi i природоохоронного, виконання виробничої програми та органiзацiйно-технiчних заходiв в межах запланованого фiнансування. Для забезпечення успiшної роботи в 2020 роцi намiченi технiчнi заходи для полiпшення технiко-економiчних показникiв, економiї енергетичних i сировинних ресурсiв, зниження викидiв шкiдливих речовин, полiпшення умов працi. На пiдприємствi, у вiдповiдностi зi стратегiєю розвитку, ведуться роботи з пiдвищення ефективностi систем управлiння якiстю, екологiєю, охороною працi та здоров`я персоналу. впровадження нового сучасного обладнання, освоєння нових технологiй, професiйної будiвельної технiки та укомплектовання квалiфiкованими кадрами, що дозволить вести будiвництво об'єктiв комерцiйної нерухомостi на складних грунтах, в мiсцях щiльної забудови, в зимовий сезон.</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 xml:space="preserve">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 </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У 2020 р. вартiсть активiв зменшилась на 21 423 тис.грн. в основному за рахунок зменшення дебiторської заборгованостi та виробничих запасiв.</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Основнi засоби розташованi за адресою мiсцезнаходження товариства. У звiтному перiодi надiйшло основних засобiв на суму 13 257 тис.грн. Утримання активiв здiйснюється за власнi кошти Товариства. На думку Емiтента екологiчнi питання не позначаються на використаннi активiв пiдприємства. Удосконалення основних засобiв планується при наявностi коштiв.  Володiння ОЗ здiйснюється на правах власностi на постiйнiй основi.  Первiсна вартiсть основних засобiв 72 758 тис.грн.;  Нараховано знос - 37 747 тис.грн.</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Проблеми, які впливають на діяльність емітента; ступінь залежності від законодавчих або економічних обмежень</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Iстотними проблемами, що впливають на дiяльнiсть Товариства є фiнансово-економiчнi проблеми. Серед них iнфляцiйнi процеси (пiдвищення цiн на енергоресурси, на товарно-матерiальнi цiнностi та iнше), здороження кредитних ресурсiв, а також система оподаткування: значнi непрямi податки до бюджету, якi не пов'язанi з виробничою дiяльнiстю товариства, а саме земельний податок, податок на нерухомiсть. Слiд зазначити необхiднiсть оновлювати матерiально-технiчну базу, що потребує iнвестицiй (фiнансування) iз залученням яких є труднощi. Негативний вплив на розвиток емiтента може мати погiршення економiчної ситуацiї в Українi та у всьому свiтi, викликане, зокрема, пандемiєю гострої респiраторної хвороби COVID-19 та введенням пов'язаних iз цим карантинних та обмежувальних заходiв в Українi та свiтi, що матиме наслiдком зниження попиту на послуги Товариства.</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Фiнансування дiяльностi Товариства здiйснюється за рахунок власних коштiв.</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Дебiторська заборгованiсть за роботи, товари та послуги становить 14 760 тис.грн. Кредиторська заборгованiсть за роботи, товари та послуги становить 8 848 тис.грн.</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Загальними напрямками подальшого розвитку ПрАТ "Агробудмеханiзацiя" та основними стратегiчними задачами є посилення конкурентних позицiй Товариства на ринку будiвництва комерцiйної та житлової нерухомостi в Українi; пiдвищення конкурентоспроможностi за рахунок покращення якостi будiвництва. Ми прагнемо не лише зберегти лiдерство серед забудовникiв Київської областi, а i розширити присутнiсть на будiвельному ринку України. Позицiонуючи себе як пiдприємство, що веде прозорий бiзнес, розумiючи перспективи ринку будiвництва, ПрАТ "Агробудмеханiзацiя" прагне надавати своїм клiєнтам повний комплекс послуг для створення сучасних комерцiйних об'єктiв та житлових будинкiв з високою функцiональнiстю, виразною архiтектурою будiвель, ексклюзивними iнтер'єрами, використанням ефективних систем для створення i пiдтримки сприятливого мiкроклiмату всерединi об'єктiв.</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Опис політики емітента щодо досліджень та розробок, вказати суму витрат на дослідження та розробку за звітний рік</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Товариство не проводить дослiджень та розробок. Витрати на дослiдження та розробки вiдсутнi.</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b/>
          <w:bCs/>
        </w:rPr>
      </w:pPr>
      <w:r>
        <w:rPr>
          <w:rFonts w:ascii="Times New Roman CYR" w:hAnsi="Times New Roman CYR" w:cs="Times New Roman CYR"/>
          <w:b/>
          <w:bCs/>
        </w:rPr>
        <w:t>Інша інформація, яка може бути істотною для оцінки інвестором фінансового стану та результатів діяльності емітента, у тому числі, за наявності, інформацію про результати та аналіз господарювання емітента за останні три роки у формі аналітичної довідки в довільній формі</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Iнша iнформацiя, яка може бути iстотною для оцiнки iнвестором фiнансового стану та результатiв дiяльностi емiтента вiдсутня.</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органи управління</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4000"/>
      </w:tblGrid>
      <w:tr w:rsidR="00305EED">
        <w:trPr>
          <w:trHeight w:val="200"/>
        </w:trPr>
        <w:tc>
          <w:tcPr>
            <w:tcW w:w="2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Орган управління</w:t>
            </w:r>
          </w:p>
        </w:tc>
        <w:tc>
          <w:tcPr>
            <w:tcW w:w="4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Структура</w:t>
            </w:r>
          </w:p>
        </w:tc>
        <w:tc>
          <w:tcPr>
            <w:tcW w:w="4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Персональний склад</w:t>
            </w:r>
          </w:p>
        </w:tc>
      </w:tr>
      <w:tr w:rsidR="00305EED">
        <w:trPr>
          <w:trHeight w:val="200"/>
        </w:trPr>
        <w:tc>
          <w:tcPr>
            <w:tcW w:w="2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зборiв, секретар, лiчильна комiсiя</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органи зборiв обираються тiльки на перiод проведення зборiв i припиняють свої повноваження пiсля їх закiнчення</w:t>
            </w:r>
          </w:p>
        </w:tc>
      </w:tr>
      <w:tr w:rsidR="00305EED">
        <w:trPr>
          <w:trHeight w:val="200"/>
        </w:trPr>
        <w:tc>
          <w:tcPr>
            <w:tcW w:w="2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та члени Наглядової ради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Головна наглядової ради - Бойко Катерина Сергiївна, Член наглядової ради - Петрусь Нiна Григорiвна, Член наглядової ради - Колодяжний Микола Володимирович.</w:t>
            </w:r>
          </w:p>
        </w:tc>
      </w:tr>
      <w:tr w:rsidR="00305EED">
        <w:trPr>
          <w:trHeight w:val="200"/>
        </w:trPr>
        <w:tc>
          <w:tcPr>
            <w:tcW w:w="2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Правлiння</w:t>
            </w:r>
          </w:p>
        </w:tc>
        <w:tc>
          <w:tcPr>
            <w:tcW w:w="4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та члени Правлiння</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правлiння - Шалiмов Володимир Iллiч, Член правлiння - Бiлошапка Анатолiй Миколайович, Член правлiння - Шалiмов Iгор Володимирович.</w:t>
            </w:r>
          </w:p>
        </w:tc>
      </w:tr>
      <w:tr w:rsidR="00305EED">
        <w:trPr>
          <w:trHeight w:val="200"/>
        </w:trPr>
        <w:tc>
          <w:tcPr>
            <w:tcW w:w="2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Ревiзiйна комiсiя</w:t>
            </w:r>
          </w:p>
        </w:tc>
        <w:tc>
          <w:tcPr>
            <w:tcW w:w="4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та члени Ревiзiйної комiсiї</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Ревiзiйної комiсiї - Корницька Вiра Леонiдiвна, Член ревiзiйної комiсiї - Луценко Наталiя Вiкторiвна, Член ревiзiйної комiсiї  - Танасiйчук Микола Леонтiйович.</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rPr>
          <w:rFonts w:ascii="Times New Roman CYR" w:hAnsi="Times New Roman CYR" w:cs="Times New Roman CYR"/>
          <w:sz w:val="22"/>
          <w:szCs w:val="22"/>
        </w:rPr>
        <w:sectPr w:rsidR="00305EED">
          <w:pgSz w:w="12240" w:h="15840"/>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V. Інформація про посадових осіб емітента</w:t>
      </w: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щодо освіти та стажу роботи посадових осіб емітента</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900"/>
        <w:gridCol w:w="2500"/>
        <w:gridCol w:w="3000"/>
        <w:gridCol w:w="850"/>
        <w:gridCol w:w="2250"/>
        <w:gridCol w:w="1000"/>
        <w:gridCol w:w="3050"/>
        <w:gridCol w:w="1550"/>
      </w:tblGrid>
      <w:tr w:rsidR="00305EED">
        <w:trPr>
          <w:trHeight w:val="200"/>
        </w:trPr>
        <w:tc>
          <w:tcPr>
            <w:tcW w:w="9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 з/п</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Прізвище, ім'я, по батькові</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Рік народження</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Освіта</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Стаж роботи (років)</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Найменування підприємства, ідентифікаційний код юридичної особи та посада, яку займав</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Дата набуття повноважень та термін, на який обрано (призначено)</w:t>
            </w:r>
          </w:p>
        </w:tc>
      </w:tr>
      <w:tr w:rsidR="00305EED">
        <w:trPr>
          <w:trHeight w:val="200"/>
        </w:trPr>
        <w:tc>
          <w:tcPr>
            <w:tcW w:w="9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Член ревiзiйної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Луценко Наталiя Вiкторiвна</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1978</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ПАТ КБ "Правекс-банк", -, Менеджер по обслуговуванню вiп клiєнтiв</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26.04.2018, на 3 роки</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Товариства. Посадова особа не отримує плату за виконання своїх обов'язкiв. Додаткова винагорода не передбачена. Непогашеної судимостi за користливi та посадовi злочини особа не має. Загальний стаж роботи 19 рокiв.  Попереднi посади якi займала особа протягом останнiх п'яти рокiв: секретар.  Особа не надала iнформацiї щодо роботи на iнших пiдприємствах.</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правлiння</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Шалiмов Володимир Iллiч</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1959</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Вища, Полтавський iнженерно-будiвельний iнститут</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40</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ТОВ "Агробудпереробка-ЛТД", -, директор</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23.03.2011, безстроково</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Товариства. Посадова особа отримує заробiтну плату, встановлену згiдно зi штатним розкладом. Додаткова винагорода не передбачена. Посадова особа не дала згоди на розкриття iнформацiї про розмiр оплати, отриманої за виконання своїх обов'язкiв. За звiтний перiод змiн у складi посадових осiб не було. Непогашеної судимостi за користливi та посадовi злочини особа не має. Загальний стаж роботи 40 рокiв.  Попереднi посади якi займала особа протягом останнiх п'яти рокiв: голова правлiння. Особа не надала iнформацiї щодо роботи на iнших пiдприємствах.</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Член правлiння</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Бiлошапка Анатолiй Миколайович</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1962</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Вища, Чернiгiвське авiацiйне училища льотчикiв</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ТОВ "Ведмiдь", -, начальник охорони</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23.03.2011, безстроково</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Товариства. Посадова особа отримує заробiтну плату, встановлену згiдно зi штатним розкладом. Додаткова винагорода не передбачена. Посадова особа не дала згоди на розкриття iнформацiї про розмiр оплати, отриманої за виконання своїх обов'язкiв. Непогашеної судимостi за користливi та посадовi злочини особа не має. Загальний стаж роботи 24 рокiв.  Попереднi посади якi займала особа протягом останнiх п'яти рокiв: помiчник голови правлiння. Працює на пiдприємствi ПрАТ "Агробудмеханiзацiя" помiчник голови правлiння та в ДП "Агробуд" за сумiсництвом заступник директора.</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Головний бухгалтер</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Бойко Катерина Сергiївна</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1984</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КП "ЖКК Щасливський", -, головний бухгалтер</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05.08.2014, безстроково</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посадовою iнструкцiєю. Посадова особа отримує заробiтну плату, встановлену згiдно зi штатним розкладом. Додаткова винагорода не передбачена. Посадова особа не дала згоди на розкриття iнформацiї про розмiр оплати, отриманої за виконання своїх обов'язкiв. Непогашеної судимостi за користливi та посадовi злочини особа не має. Загальний стаж роботи 15 рокiв.  Попереднi посади якi займала особа протягом останнiх п'яти рокiв: головний бухгалтер.  Особа не надала iнформацiї щодо роботи на iнших пiдприємствах.</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Ревiзiйної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Корницька Вiра Леонiдiвна</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1953</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Вища, Український iнститут iнженерiв водного господарства</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44</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Бориспiльська мiська рада Київської областi, -, заступник мiського голови</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26.04.2018, на 3 роки</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Посадова особа не отримує плату за виконання своїх обов'язкiв. Додаткова винагорода не передбачена. Непогашеної судимостi за користливi та посадовi злочини особа не має. Загальний стаж роботи 44 рокiв. Попереднi посади якi займала особа протягом останнiх п'яти рокiв: заступник голови правлiння ПрАТ "Агробудмеханiзацiя". Особа не надала iнформацiї щодо роботи на iнших пiдприємствах.</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Голова наглядової ради  (обрано як представника акцiонера)</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Бойко Катерина Сергiївна</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1984</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ПрАТ "Агробудмеханiзацiя", 13708491, головний бухгалтер</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10.12.2019, термiном на 3 роки</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Товариства. Посадова особа не отримує плату за виконання своїх обов'язкiв. Додаткова винагорода не передбачена. Непогашеної судимостi за користливi та посадовi злочини особа не має. Загальний стаж роботи 15 рокiв.  Попереднi посади якi займала особа протягом останнiх п'яти рокiв: головний бухгалтер ПрАТ "Агробудмеханiзацiя".  Особа не надала iнформацiї щодо роботи на iнших пiдприємствах.</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Член наглядової ради (обрано як представника акцiонера)</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Колодяжний Микола Володимирович</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1979</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Вища, Потлавський iнженерно-будiвельний iнститут</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ПрАТ "Агробудмеханiзацiя", 13708491, технiчний директор</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10.12.2019, термiном на 3 роки</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Товариства. Посадова особа не отримує плату за виконання своїх обов'язкiв. Додаткова винагорода не передбачена. Непогашеної судимостi за користливi та посадовi злочини особа не має.  Загальний стаж роботи 19 рокiв.  Попереднi посади якi займала особа протягом останнiх п'яти рокiв: технiчний директор ПрАТ "Агробудмеханiзацiя".  Особа не надала iнформацiї щодо роботи на iнших пiдприємствах.</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Член правлiння</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Шалiмов Iгор Володимирович</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1984</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Вища, Потлавський iнженерно-будiвельний iнститут</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ЗАТ "Агробудмеханiзацiя", 13708491, Член правлiння</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23.03.2011, безстроково</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Товариства. Посадова особа отримує заробiтну плату, встановлену згiдно зi штатним розкладом. Додаткова винагорода не передбачена. Посадова особа не дала згоди на розкриття iнформацiї про розмiр оплати, отриманої за виконання своїх обов'язкiв. За звiтний перiод змiн у складi посадових осiб не було. Непогашеної судимостi за користливi та посадовi злочини особа не має. Загальний стаж роботи 19 рокiв.  Попереднi посади якi займала особа протягом останнiх п'яти рокiв: член правлiння.  Особа не надала iнформацiї щодо роботи на iнших пiдприємствах.</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9</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Член наглядової ради  (обрано як представника акцiонера)</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Петрусь Нiна Григорiвна</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1954</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Середня Київське культурно-освiтнє училище</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49</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Бориспiльська ФЕГГ, -, Iнспектор з кадрiв</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10.12.2019, термiном на 3 роки</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Товариства. Посадова особа не отримує плату за виконання своїх обов'язкiв. Додаткова винагорода не передбачена. Непогашеної судимостi за користливi та посадовi злочини особа не має. Загальний стаж роботи 49 рокiв. Попереднi посади якi займала особа протягом останнiх п'яти рокiв: iнспектор з кадрiв. Особа не надала iнформацiї щодо роботи на iнших пiдприємствах.</w:t>
            </w:r>
          </w:p>
        </w:tc>
      </w:tr>
      <w:tr w:rsidR="00305EED">
        <w:trPr>
          <w:trHeight w:val="200"/>
        </w:trPr>
        <w:tc>
          <w:tcPr>
            <w:tcW w:w="9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Член ревiзiйної комiсiї</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Танасiйчук Микола Леонтiйович</w:t>
            </w:r>
          </w:p>
        </w:tc>
        <w:tc>
          <w:tcPr>
            <w:tcW w:w="8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1949</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д/н</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49</w:t>
            </w:r>
          </w:p>
        </w:tc>
        <w:tc>
          <w:tcPr>
            <w:tcW w:w="30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ВО "Укренергожитлобуд", -, майстер</w:t>
            </w:r>
          </w:p>
        </w:tc>
        <w:tc>
          <w:tcPr>
            <w:tcW w:w="155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26.04.2018, на 3 роки</w:t>
            </w:r>
          </w:p>
        </w:tc>
      </w:tr>
      <w:tr w:rsidR="00305EED">
        <w:trPr>
          <w:trHeight w:val="200"/>
        </w:trPr>
        <w:tc>
          <w:tcPr>
            <w:tcW w:w="9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200" w:type="dxa"/>
            <w:gridSpan w:val="7"/>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Опис:</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Повноваження та обов'язки посадової особи визначенi Статутом Товариства. Посадова особа не отримує плату за виконання своїх обов'язкiв. Додаткова винагорода не передбачена. Непогашеної судимостi за користливi та посадовi злочини особа не має. Загальний стаж роботи 49 рокiв. Попереднi посади якi займала особа протягом останнiх п'яти рокiв: майстер, головний iнженер механнiк. Особа не надала iнформацiї щодо роботи на iнших пiдприємствах.</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rPr>
          <w:rFonts w:ascii="Times New Roman CYR" w:hAnsi="Times New Roman CYR" w:cs="Times New Roman CYR"/>
          <w:sz w:val="22"/>
          <w:szCs w:val="22"/>
        </w:rPr>
        <w:sectPr w:rsidR="00305EED">
          <w:pgSz w:w="16838" w:h="11906" w:orient="landscape"/>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2. Інформація про володіння посадовими особами емітента акціями емітента</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50"/>
        <w:gridCol w:w="4400"/>
        <w:gridCol w:w="1200"/>
        <w:gridCol w:w="1300"/>
        <w:gridCol w:w="2400"/>
        <w:gridCol w:w="2771"/>
      </w:tblGrid>
      <w:tr w:rsidR="00305EED">
        <w:trPr>
          <w:trHeight w:val="200"/>
        </w:trPr>
        <w:tc>
          <w:tcPr>
            <w:tcW w:w="3050" w:type="dxa"/>
            <w:vMerge w:val="restart"/>
            <w:tcBorders>
              <w:top w:val="single" w:sz="6" w:space="0" w:color="auto"/>
              <w:bottom w:val="nil"/>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Посада</w:t>
            </w:r>
          </w:p>
        </w:tc>
        <w:tc>
          <w:tcPr>
            <w:tcW w:w="44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 xml:space="preserve">Прізвище, ім'я, по батькові фізичної особи або повне найменування юридичної особи </w:t>
            </w:r>
          </w:p>
        </w:tc>
        <w:tc>
          <w:tcPr>
            <w:tcW w:w="12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 xml:space="preserve"> Кількість акцій (шт.)</w:t>
            </w:r>
          </w:p>
        </w:tc>
        <w:tc>
          <w:tcPr>
            <w:tcW w:w="13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Від загальної кількості акцій (у відсотках)</w:t>
            </w:r>
          </w:p>
        </w:tc>
        <w:tc>
          <w:tcPr>
            <w:tcW w:w="5171"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Кількість за видами акцій</w:t>
            </w:r>
          </w:p>
        </w:tc>
      </w:tr>
      <w:tr w:rsidR="00305EED">
        <w:trPr>
          <w:trHeight w:val="200"/>
        </w:trPr>
        <w:tc>
          <w:tcPr>
            <w:tcW w:w="3050" w:type="dxa"/>
            <w:vMerge/>
            <w:tcBorders>
              <w:top w:val="nil"/>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44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12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13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Прості іменні</w:t>
            </w:r>
          </w:p>
        </w:tc>
        <w:tc>
          <w:tcPr>
            <w:tcW w:w="2771"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b/>
                <w:bCs/>
                <w:sz w:val="22"/>
                <w:szCs w:val="22"/>
              </w:rPr>
              <w:t>Привілейовані іменні</w:t>
            </w:r>
          </w:p>
        </w:tc>
      </w:tr>
      <w:tr w:rsidR="00305EED">
        <w:trPr>
          <w:trHeight w:val="200"/>
        </w:trPr>
        <w:tc>
          <w:tcPr>
            <w:tcW w:w="3050" w:type="dxa"/>
            <w:tcBorders>
              <w:top w:val="nil"/>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4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2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3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c>
          <w:tcPr>
            <w:tcW w:w="2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p>
        </w:tc>
        <w:tc>
          <w:tcPr>
            <w:tcW w:w="2771"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Член ревiзiйної комiсiї</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Луценко Наталiя Вiкторiвна</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Голова правлiння</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Шалiмов Володимир Iллiч</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1 898</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88,0334</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1 898</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Член правлiння</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Бiлошапка Анатолiй Миколайович</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Головний бухгалтер</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Бойко Катерина Сергiївна</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Голова Ревiзiйної комiсiї</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Корницька Вiра Леонiдiвна</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Голова наглядової ради  (обрано як представника акцiонера)</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Бойко Катерина Сергiївна</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Член наглядової ради (обрано як представника акцiонера)</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Колодяжний Микола Володимирович</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Член правлiння</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Шалiмов Iгор Володимирович</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258</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11,9666</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258</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Член наглядової ради  (обрано як представника акцiонера)</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Петрусь Нiна Григорiвна</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Член ревiзiйної комiсiї</w:t>
            </w:r>
          </w:p>
        </w:tc>
        <w:tc>
          <w:tcPr>
            <w:tcW w:w="4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Танасiйчук Микола Леонтiйович</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277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rPr>
          <w:rFonts w:ascii="Times New Roman CYR" w:hAnsi="Times New Roman CYR" w:cs="Times New Roman CYR"/>
          <w:sz w:val="22"/>
          <w:szCs w:val="22"/>
        </w:rPr>
        <w:sectPr w:rsidR="00305EED">
          <w:pgSz w:w="16838" w:h="11906" w:orient="landscape"/>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VI. Інформація про засновників та/або учасників емітента та відсоток акцій (часток, паїв)</w:t>
      </w:r>
    </w:p>
    <w:tbl>
      <w:tblPr>
        <w:tblW w:w="0" w:type="auto"/>
        <w:tblInd w:w="2"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2920"/>
        <w:gridCol w:w="1700"/>
        <w:gridCol w:w="3300"/>
        <w:gridCol w:w="2000"/>
      </w:tblGrid>
      <w:tr w:rsidR="00305EED">
        <w:trPr>
          <w:trHeight w:val="200"/>
        </w:trPr>
        <w:tc>
          <w:tcPr>
            <w:tcW w:w="292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Найменування юридичної особи засновника та/або учасника</w:t>
            </w:r>
          </w:p>
        </w:tc>
        <w:tc>
          <w:tcPr>
            <w:tcW w:w="17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Ідентифікаційний код юридичної особи засновника та/або учасника</w:t>
            </w:r>
          </w:p>
        </w:tc>
        <w:tc>
          <w:tcPr>
            <w:tcW w:w="33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Місцезнаходження</w:t>
            </w: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Відсоток акцій (часток, паїв), які належать засновнику та/або учаснику (від загальної кількості)</w:t>
            </w:r>
          </w:p>
        </w:tc>
      </w:tr>
      <w:tr w:rsidR="00305EED">
        <w:trPr>
          <w:trHeight w:val="200"/>
        </w:trPr>
        <w:tc>
          <w:tcPr>
            <w:tcW w:w="292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17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33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r>
      <w:tr w:rsidR="00305EED">
        <w:trPr>
          <w:trHeight w:val="200"/>
        </w:trPr>
        <w:tc>
          <w:tcPr>
            <w:tcW w:w="7920" w:type="dxa"/>
            <w:gridSpan w:val="3"/>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Прізвище, ім'я, по батькові фізичної особи</w:t>
            </w: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Відсоток акцій (часток, паїв), які належать засновнику та/або учаснику (від загальної кількості)</w:t>
            </w:r>
          </w:p>
        </w:tc>
      </w:tr>
      <w:tr w:rsidR="00305EED">
        <w:trPr>
          <w:trHeight w:val="200"/>
        </w:trPr>
        <w:tc>
          <w:tcPr>
            <w:tcW w:w="7920" w:type="dxa"/>
            <w:gridSpan w:val="3"/>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Шалiмов Iгор Володимирович</w:t>
            </w: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11,9666</w:t>
            </w:r>
          </w:p>
        </w:tc>
      </w:tr>
      <w:tr w:rsidR="00305EED">
        <w:trPr>
          <w:trHeight w:val="200"/>
        </w:trPr>
        <w:tc>
          <w:tcPr>
            <w:tcW w:w="7920" w:type="dxa"/>
            <w:gridSpan w:val="3"/>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Шалiмов Володимир Iллiч</w:t>
            </w: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88,0334</w:t>
            </w:r>
          </w:p>
        </w:tc>
      </w:tr>
      <w:tr w:rsidR="00305EED">
        <w:trPr>
          <w:trHeight w:val="200"/>
        </w:trPr>
        <w:tc>
          <w:tcPr>
            <w:tcW w:w="7920" w:type="dxa"/>
            <w:gridSpan w:val="3"/>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Усього</w:t>
            </w: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b/>
          <w:bCs/>
          <w:sz w:val="28"/>
          <w:szCs w:val="28"/>
        </w:rPr>
        <w:t>VII. Звіт керівництва (звіт про управління)</w:t>
      </w:r>
    </w:p>
    <w:p w:rsidR="00305EED" w:rsidRDefault="00305EED">
      <w:pPr>
        <w:widowControl w:val="0"/>
        <w:autoSpaceDE w:val="0"/>
        <w:autoSpaceDN w:val="0"/>
        <w:adjustRightInd w:val="0"/>
        <w:jc w:val="center"/>
        <w:rPr>
          <w:rFonts w:ascii="Times New Roman CYR" w:hAnsi="Times New Roman CYR" w:cs="Times New Roman CYR"/>
          <w:sz w:val="28"/>
          <w:szCs w:val="28"/>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1. Вірогідні перспективи подальшого розвитку емітента</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Загальними напрямками подальшого розвитку ПрАТ "Агробудмеханiзацiя" та основними стратегiчними задачами є посилення конкурентних позицiй Товариства на ринку будiвництва комерцiйної та житлової нерухомостi в Українi; пiдвищення конкурентоспроможностi за рахунок покращення якостi будiвництва. Ми прагнемо не лише зберегти лiдерство серед забудовникiв Київської областi, а i розширити присутнiсть на будiвельному ринку України. Позицiонуючи себе як пiдприємство, що веде прозорий бiзнес, розумiючи перспективи ринку будiвництва, ПрАТ "Агробудмеханiзацiя" прагне надавати своїм клiєнтам повний комплекс послуг для створення сучасних комерцiйних об'єктiв та житлових будинкiв з високою функцiональнiстю, виразною архiтектурою будiвель, ексклюзивними iнтер'єрами, використанням ефективних систем для створення i пiдтримки сприятливого мiкроклiмату всерединi об'єктiв. Дiяльнiсть ПрАТ "Агробудмеханiзацiя" щодо розширення виробництва, полiпшення фiнансового стану спрямована на технiчне переоснащення виробництва, оновлення основних засобiв i виробничих потужностей, дотримання чинного законодавства, в тому числi i природоохоронного, виконання виробничої програми та органiзацiйно-технiчних заходiв в межах запланованого фiнансування. Для забезпечення успiшної роботи в 2019 роцi намiченi технiчнi заходи для полiпшення технiко-економiчних показникiв, економiї енергетичних i сировинних ресурсiв, зниження викидiв шкiдливих речовин, полiпшення умов працi. На пiдприємствi, у вiдповiдностi зi стратегiєю розвитку, ведуться роботи з пiдвищення ефективностi систем управлiння якiстю, екологiєю, охороною працi та здоров`я персоналу. впровадження нового сучасного обладнання, освоєння нових технологiй, професiйної будiвельної технiки та укомплектування квалiфiкованими кадрами, що дозволить вести будiвництво об'єктiв комерцiйної нерухомостi на складних грунтах, в мiсцях щiльної забудови, в зимовий сезон.            Негативний вплив на розвиток емiтента може мати погiршення економiчної ситуацiї в Українi та у всьому свiтi, викликане, зокрема, пандемiєю гострої респiраторної хвороби COVID-19 та введенням пов'язаних iз цим карантинних та обмежувальних заходiв в Українi та свiтi, що матиме наслiдком зниження попиту на послуги Товариства.</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2. Інформація про розвиток емітента</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Товариство зареєстровано 14.05.1996 р. Виконавчим комiтетом Бориспiльської мiської ради народних депутатiв.</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 зокрема інформацію про:</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Товариство не укладало деривативи, та не вчиняло правочинiв щодо похiдних цiнних паперiв, тому не несе фiнансових ризикiв, пов'язаних з обiгом похiдних цiнних паперiв. Намiри щодо вчинення таких правочинiв вiдсутнi. Вiдповiдно до вищезазначеного iнформацiя щодо управлiння фiнансовими ризиками не надається.</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1) завдання та політику емітента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Товариство не укладало деривативи, та не вчиняло правочинiв щодо похiдних цiнних паперiв, тому не несе фiнансових ризикiв, пов'язаних з обiгом похiдних цiнних паперiв. Намiри щодо вчинення таких правочинiв вiдсутнi. Вiдповiдно до вищезазначеного iнформацiя щодо схильностi емiтента до цiнового або кредитного ризикiв не надається.</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2) схильність емітента до цінових ризиків, кредитного ризику, ризику ліквідності та/або ризику грошових потоків</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Товариство не укладало деривативи, та не вчиняло правочинiв щодо похiдних цiнних паперiв, тому не несе фiнансових ризикiв, пов'язаних з обiгом похiдних цiнних паперiв. Намiри щодо вчинення таких правочинiв вiдсутнi. Вiдповiдно до вищезазначеного iнформацiя щодо схильностi емiтента до цiнового або кредитного ризикiв не надається.</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4. Звіт про корпоративне управління:</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1) посилання на:</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власний кодекс корпоративного управління, яким керується емітент</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Корпоративне управлiння Товариства здiйснюється вiдповiдно до положень Цивiльного кодексу України, Законiв України "Про акцiонернi товариства", "Про цiннi папери та фондовий ринок", "Про депозитарну систему України", iнших актiв законодавства України, Статуту Товариства,  "Положення про Загальнi збори акцiонерiв", "Положення про наглядову раду", та " Положення про Ревiзiйну Комiсiю (Ревiзора)". Як окремого документу "Кодекс корпоративного управлiння" не приймався та не оприлюднювався.</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Кодексу корпоративного управлiння фондової бiржi, об'єднання юридичних осiб або будь-якого iншого кодексу корпоративного управлiння Товариство не застосовує.</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вся відповідна інформація про практику корпоративного управління, застосовувану понад визначені законодавством вимоги</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Товариство не застосовує практику корпоративного управлiння понад визначенi законодавством вимоги.</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Як окремого документу "Кодекс корпоративного управлiння" не приймався та не оприлюднювався, кодексу корпоративного управлiння фондової бiржi, об'єднання юридичних осiб або будь-якого iншого кодексу корпоративного управлiння Товариство не застосовує. Акцiонери Товариства вважають достатнiм регулювання корпоративних вiдносин, якi встановленi чинним законодавством, Статутом Товариства, Положенням про Загальнi збори акцiонерiв, Положенням про наглядову раду, та Положенням про Ревiзiйну Комiсiю (Ревiзора) Товариства.</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3) інформація про загальні збори акціонерів (учасників)</w:t>
      </w:r>
    </w:p>
    <w:p w:rsidR="00305EED" w:rsidRDefault="00305EED">
      <w:pPr>
        <w:widowControl w:val="0"/>
        <w:autoSpaceDE w:val="0"/>
        <w:autoSpaceDN w:val="0"/>
        <w:adjustRightInd w:val="0"/>
        <w:jc w:val="both"/>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2000"/>
        <w:gridCol w:w="2000"/>
      </w:tblGrid>
      <w:tr w:rsidR="00305EED">
        <w:trPr>
          <w:trHeight w:val="253"/>
        </w:trPr>
        <w:tc>
          <w:tcPr>
            <w:tcW w:w="6000" w:type="dxa"/>
            <w:gridSpan w:val="2"/>
            <w:vMerge w:val="restart"/>
            <w:tcBorders>
              <w:top w:val="single" w:sz="6" w:space="0" w:color="auto"/>
              <w:bottom w:val="nil"/>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Вид загальних зборів</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річні</w:t>
            </w:r>
          </w:p>
        </w:tc>
        <w:tc>
          <w:tcPr>
            <w:tcW w:w="2000" w:type="dxa"/>
            <w:vMerge w:val="restart"/>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позачергові</w:t>
            </w:r>
          </w:p>
        </w:tc>
      </w:tr>
      <w:tr w:rsidR="00305EED">
        <w:trPr>
          <w:trHeight w:val="200"/>
        </w:trPr>
        <w:tc>
          <w:tcPr>
            <w:tcW w:w="6000" w:type="dxa"/>
            <w:gridSpan w:val="2"/>
            <w:vMerge/>
            <w:tcBorders>
              <w:top w:val="nil"/>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r>
      <w:tr w:rsidR="00305EED">
        <w:trPr>
          <w:trHeight w:val="200"/>
        </w:trPr>
        <w:tc>
          <w:tcPr>
            <w:tcW w:w="6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Дата проведення</w:t>
            </w:r>
          </w:p>
        </w:tc>
        <w:tc>
          <w:tcPr>
            <w:tcW w:w="4000" w:type="dxa"/>
            <w:gridSpan w:val="2"/>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28.04.2020</w:t>
            </w:r>
          </w:p>
        </w:tc>
      </w:tr>
      <w:tr w:rsidR="00305EED">
        <w:trPr>
          <w:trHeight w:val="200"/>
        </w:trPr>
        <w:tc>
          <w:tcPr>
            <w:tcW w:w="6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Кворум зборів</w:t>
            </w:r>
          </w:p>
        </w:tc>
        <w:tc>
          <w:tcPr>
            <w:tcW w:w="4000"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w:t>
            </w:r>
          </w:p>
        </w:tc>
      </w:tr>
      <w:tr w:rsidR="00305EED">
        <w:trPr>
          <w:trHeight w:val="200"/>
        </w:trPr>
        <w:tc>
          <w:tcPr>
            <w:tcW w:w="2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Опис</w:t>
            </w:r>
          </w:p>
        </w:tc>
        <w:tc>
          <w:tcPr>
            <w:tcW w:w="8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На рiчних Загальних зборах акцiонерiв розглядались питання порядку денного: 1. Про обрання голови та секретаря лiчильної комiсiї. Прийнято рiшення: обрати головою лiчильної комiсiї - Романюк Ольгу Владиславiвну та секретарем - Зайця Вiктора Миколайовича. 2. Про обрання голови та секретаря зборiв. Прийнято рiшення: обрати головою зборiв - Шалiмова Володимира Iллiча та секретарем зборiв - Петрусь Нiну Григорiвну. 3. Затвердження рiчного звiту Товариства за 2019 рiк. Прийнято рiшення: Затвердити  рiчний Звiт Товариства за 2019 рiк. 4. Розгляд звiту Наглядової ради та прийняття рiшення за наслiдками розгляду звiту. Прийнято рiшення: затвердити Звiт Наглядової ради Товариства за пiдсумками 2019 року. Визнати роботу Наглядової ради у 2019 роцi задовiльною та такою, що вiдповiдає метi та напрямкам дiяльностi Товариства i положенням його установчих документiв. Заходiв за результатами розгляду звiту не приймати. 5. Розгляд звiту правлiння та прийняття рiшень за наслiдками розгляду звiту. Прийнято рiшення: Затвердити Звiт Правлiння Товариства за пiдсумками 2019 року. Визнати роботу Правлiння у 2019 роцi задовiльною та такою, що вiдповiдає метi та напрямкам дiяльностi Товариства i положенням його установчих документiв. Заходiв за результатами розгляду звiту не приймати. 6. Розгляд звiту ревiзiйної комiсiї та прийняття рiшень за наслiдками розгляду звiту. Прийнято рiшення: Затвердити Звiт Ревiзiйної комiсiї Товариства за пiдсумками 2019 року. Визнати роботу Ревiзiйної комiсiї у 2019 роцi задовiльною та такою, що вiдповiдає метi та напрямкам дiяльностi Товариства i положенням його установчих документiв. Заходiв за результатами розгляду звiту не приймати. 7. Розподiл прибутку i збиткiв Товариства за 2019 рiк. Прийняття рiшення про виплату дивiдендiв та затвердження розмiру рiчних дивiдендiв. Прийнято рiшення: Прибуток звiтного року у сумi 1622723,12 грн. розподiлити наступним чином:  виплата дивiдендiв - 1622723,12 грн. Прийнято рiшення про виплату дивiдендiв та затверджено розмiр рiчних дивiдендiв за 2019 рiк  у сумi 1622723,12 грн. Визначити спосiб виплати дивiдендiв - безпосередньо акцiонерам. 8. Про попереднє надання згоди на вчинення всiх видiв значних правочинiв, якi будуть вчинятися акцiонерним товариством у ходi поточної дiяльностi протягом 2020 фiнансового року, якщо ринкова вартiсть майна, робiт, послуг, що є предметом такого правочину, перевищує 25  вiдсоткiв вартостi активiв Товариства за даними рiчної фiнансової звiтностi за 2019 рiк, але не бiльше 95 вiдсоткiв  вартостi активiв Товариства за даними рiчної фiнансової звiтностi за  2019 рiк. Прийнято рiшення: Надати попередню згоду на вчинення всiх видiв значних правочинiв, якi будуть вчинятися акцiонерним товариством у ходi поточної дiяльностi протягом 2020 фiнансового року, якщо ринкова вартiсть майна, робiт, послуг, що є предметом такого правочину, перевищує 25 вiдсоткiв вартостi активiв Товариства за даними рiчної фiнансової звiтностi за 2019 рiк, але не бiльше 95 вiдсоткiв вартостi активiв Товариства за даними рiчної фiнансової звiтностi за 2019 рiк. </w:t>
            </w:r>
            <w:r>
              <w:rPr>
                <w:rFonts w:ascii="Times New Roman CYR" w:hAnsi="Times New Roman CYR" w:cs="Times New Roman CYR"/>
                <w:sz w:val="22"/>
                <w:szCs w:val="22"/>
              </w:rPr>
              <w:tab/>
              <w:t xml:space="preserve"> Кворум зборiв: у зборах прийняли участь акцiонери, що є власниками 100% вiд загальної кiлькостi голосуючих акцiй. Перелiк осiб, що подавали пропозицiї до перелiку питань порядку денного: Була надана одна пропозицiя до порядку денного вiд акцiонера Шалiмова Володимира Iллiча.</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Який орган здійснював реєстрацію акціонерів для участі в загальних зборах акціонерів останнього разу у звітному році?</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Реєстраційна комісія, призначена особою, що скликала загальні збори</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Акціонери</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Депозитарна установа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(зазначити)</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д/н</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Який орган здійснював контроль за станом реєстрації акціонерів або їх представників для участі в останніх загальних зборах у звітному році </w:t>
      </w:r>
      <w:r>
        <w:rPr>
          <w:rFonts w:ascii="Times New Roman CYR" w:hAnsi="Times New Roman CYR" w:cs="Times New Roman CYR"/>
        </w:rPr>
        <w:t>(за наявності контролю)</w:t>
      </w:r>
      <w:r>
        <w:rPr>
          <w:rFonts w:ascii="Times New Roman CYR" w:hAnsi="Times New Roman CYR" w:cs="Times New Roman CYR"/>
          <w:b/>
          <w:bCs/>
        </w:rPr>
        <w:t>?</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Національна комісія з цінних паперів та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Акціонери, які володіють у сукупності більше ніж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У який спосіб відбувалось голосування з питань порядку денного на загальних зборах останнього разу у звітному році?</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Підняттям карток</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Бюлетенями (таємне голосування)</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Підняттям рук</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(зазначити)</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д/н</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Які основні причини скликання останніх позачергових зборів у звітному році?</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Реорганізація</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Додатковий випуск акцій</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Унесення змін до статуту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Прийняття рішення про збільшення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Прийняття рішення про зменшення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Обрання або припинення повноважень голови та членів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Обрання або припинення повноважень членів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Обрання або припинення повноважень членів ревізійної комісії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Делегування додаткових повноважень наглядовій раді</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Інше (зазначити)</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Позачерговi загальнi збори не проводились, тому що не скликались.</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Чи проводились у звітному році загальні збори акціонерів у формі заочного голосування?</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У разі скликання позачергових загальних зборів зазначаються їх ініціатори:</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Ревізійна комісія (ревізор)</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Акціонери (акціонер), які (який) на день подання вимоги сукупно є власниками (власником) 10 і більше відсотків голосуючих акцій товариства </w:t>
            </w:r>
          </w:p>
        </w:tc>
        <w:tc>
          <w:tcPr>
            <w:tcW w:w="3000"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д/н</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(зазначити)</w:t>
            </w:r>
          </w:p>
        </w:tc>
        <w:tc>
          <w:tcPr>
            <w:tcW w:w="3000"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Позачерговi загальнi збори не проводились, тому що не скликались.</w:t>
            </w:r>
          </w:p>
        </w:tc>
      </w:tr>
    </w:tbl>
    <w:p w:rsidR="00305EED" w:rsidRDefault="00305EED">
      <w:pPr>
        <w:widowControl w:val="0"/>
        <w:autoSpaceDE w:val="0"/>
        <w:autoSpaceDN w:val="0"/>
        <w:adjustRightInd w:val="0"/>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000"/>
        <w:gridCol w:w="5000"/>
      </w:tblGrid>
      <w:tr w:rsidR="00305EED">
        <w:trPr>
          <w:trHeight w:val="200"/>
        </w:trPr>
        <w:tc>
          <w:tcPr>
            <w:tcW w:w="5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У разі скликання, але непроведення 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Рiчнi (черговi) збори проведенi  28.04.2020 р.</w:t>
            </w:r>
          </w:p>
        </w:tc>
      </w:tr>
    </w:tbl>
    <w:p w:rsidR="00305EED" w:rsidRDefault="00305EED">
      <w:pPr>
        <w:widowControl w:val="0"/>
        <w:autoSpaceDE w:val="0"/>
        <w:autoSpaceDN w:val="0"/>
        <w:adjustRightInd w:val="0"/>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000"/>
        <w:gridCol w:w="5000"/>
      </w:tblGrid>
      <w:tr w:rsidR="00305EED">
        <w:trPr>
          <w:trHeight w:val="200"/>
        </w:trPr>
        <w:tc>
          <w:tcPr>
            <w:tcW w:w="5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У разі скликання, але непроведення позачергових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Позачерговi загальнi збори не проводились, тому що не скликались.</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4) інформація про наглядову раду та виконавчий орган емітента</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 xml:space="preserve">Склад наглядової ради (за наявності) </w:t>
      </w:r>
    </w:p>
    <w:p w:rsidR="00305EED" w:rsidRDefault="00305EED">
      <w:pPr>
        <w:widowControl w:val="0"/>
        <w:autoSpaceDE w:val="0"/>
        <w:autoSpaceDN w:val="0"/>
        <w:adjustRightInd w:val="0"/>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2000"/>
        <w:gridCol w:w="2500"/>
        <w:gridCol w:w="2500"/>
      </w:tblGrid>
      <w:tr w:rsidR="00305EED">
        <w:trPr>
          <w:trHeight w:val="200"/>
        </w:trPr>
        <w:tc>
          <w:tcPr>
            <w:tcW w:w="5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Персональний склад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Незалежний член наглядової ради</w:t>
            </w:r>
          </w:p>
        </w:tc>
        <w:tc>
          <w:tcPr>
            <w:tcW w:w="2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Залежний член наглядової ради</w:t>
            </w:r>
          </w:p>
        </w:tc>
      </w:tr>
      <w:tr w:rsidR="00305EED">
        <w:trPr>
          <w:trHeight w:val="200"/>
        </w:trPr>
        <w:tc>
          <w:tcPr>
            <w:tcW w:w="5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Бойко Катерина Сергiївна</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p>
        </w:tc>
        <w:tc>
          <w:tcPr>
            <w:tcW w:w="25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Функціональні обов'язки члена наглядової ради</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Наглядова рада Товариства є органом, що здiйснює захист прав акцiонерiв Товариства, i в межах компетенцiї, визначеної Статутом та законом, контролює та регулює дiяльнiсть виконавчого органу. До виключної компетенцiї наглядової ради належить: -</w:t>
            </w:r>
            <w:r>
              <w:rPr>
                <w:rFonts w:ascii="Times New Roman CYR" w:hAnsi="Times New Roman CYR" w:cs="Times New Roman CYR"/>
              </w:rPr>
              <w:tab/>
              <w:t>затвердження внутрiшнiх положень, якими регулюється дiяльнiсть Товариства, крiм тих, що вiднесенi до виключної компетенцiї загальних зборiв та тих, що рiшенням наглядової ради переданi для затвердження виконавчому органу; -</w:t>
            </w:r>
            <w:r>
              <w:rPr>
                <w:rFonts w:ascii="Times New Roman CYR" w:hAnsi="Times New Roman CYR" w:cs="Times New Roman CYR"/>
              </w:rPr>
              <w:tab/>
              <w:t>затвердження положення про винагороду членiв виконавчого органу Товариства, вимоги до якого встановлюються Нацiональною комiсiєю з цiнних паперiв та фондового ринку; -</w:t>
            </w:r>
            <w:r>
              <w:rPr>
                <w:rFonts w:ascii="Times New Roman CYR" w:hAnsi="Times New Roman CYR" w:cs="Times New Roman CYR"/>
              </w:rPr>
              <w:tab/>
              <w:t>затвердження звiту про винагороду членiв виконавчого органу Товариства, вимоги до якого встановлюються Нацiональною комiсiєю з цiнних паперiв та фондового ринку; -</w:t>
            </w:r>
            <w:r>
              <w:rPr>
                <w:rFonts w:ascii="Times New Roman CYR" w:hAnsi="Times New Roman CYR" w:cs="Times New Roman CYR"/>
              </w:rPr>
              <w:tab/>
              <w:t>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r>
              <w:rPr>
                <w:rFonts w:ascii="Times New Roman CYR" w:hAnsi="Times New Roman CYR" w:cs="Times New Roman CYR"/>
              </w:rPr>
              <w:tab/>
              <w:t>формування тимчасової лiчильної комiсiї до обрання лiчильної комiсiї рiшенням загальних зборiв Товариства; -</w:t>
            </w:r>
            <w:r>
              <w:rPr>
                <w:rFonts w:ascii="Times New Roman CYR" w:hAnsi="Times New Roman CYR" w:cs="Times New Roman CYR"/>
              </w:rPr>
              <w:tab/>
              <w:t>затвердження форми i тексту бюлетеня для голосування; -</w:t>
            </w:r>
            <w:r>
              <w:rPr>
                <w:rFonts w:ascii="Times New Roman CYR" w:hAnsi="Times New Roman CYR" w:cs="Times New Roman CYR"/>
              </w:rPr>
              <w:tab/>
              <w:t>прийняття рiшення про проведення чергових або позачергових загальних зборiв у порядку , передбаченому Статутом; -</w:t>
            </w:r>
            <w:r>
              <w:rPr>
                <w:rFonts w:ascii="Times New Roman CYR" w:hAnsi="Times New Roman CYR" w:cs="Times New Roman CYR"/>
              </w:rPr>
              <w:tab/>
              <w:t>прийняття рiшення про продаж ранiше викуплених Товариством акцiй; -</w:t>
            </w:r>
            <w:r>
              <w:rPr>
                <w:rFonts w:ascii="Times New Roman CYR" w:hAnsi="Times New Roman CYR" w:cs="Times New Roman CYR"/>
              </w:rPr>
              <w:tab/>
              <w:t>прийняття рiшення про розмiщення Товариством iнших цiнних паперiв, крiм акцiй; -</w:t>
            </w:r>
            <w:r>
              <w:rPr>
                <w:rFonts w:ascii="Times New Roman CYR" w:hAnsi="Times New Roman CYR" w:cs="Times New Roman CYR"/>
              </w:rPr>
              <w:tab/>
              <w:t>прийняття рiшення про викуп розмiщених Товариством iнших, крiм акцiй, цiнних паперiв;? -</w:t>
            </w:r>
            <w:r>
              <w:rPr>
                <w:rFonts w:ascii="Times New Roman CYR" w:hAnsi="Times New Roman CYR" w:cs="Times New Roman CYR"/>
              </w:rPr>
              <w:tab/>
              <w:t>затвердження ринкової вартостi майна; -</w:t>
            </w:r>
            <w:r>
              <w:rPr>
                <w:rFonts w:ascii="Times New Roman CYR" w:hAnsi="Times New Roman CYR" w:cs="Times New Roman CYR"/>
              </w:rPr>
              <w:tab/>
              <w:t>обрання та припинення повноважень голови i членiв виконавчого органу; -</w:t>
            </w:r>
            <w:r>
              <w:rPr>
                <w:rFonts w:ascii="Times New Roman CYR" w:hAnsi="Times New Roman CYR" w:cs="Times New Roman CYR"/>
              </w:rPr>
              <w:tab/>
              <w:t>затвердження умов контрактiв, якi укладатимуться з членами виконавчого органу, встановлення розмiру їх винагороди; -</w:t>
            </w:r>
            <w:r>
              <w:rPr>
                <w:rFonts w:ascii="Times New Roman CYR" w:hAnsi="Times New Roman CYR" w:cs="Times New Roman CYR"/>
              </w:rPr>
              <w:tab/>
              <w:t>прийняття рiшення про вiдсторонення голови або члена виконавчого органу вiд здiйснення повноважень та обрання особи, яка тимчасово здiйснюватиме повноваження голови виконавчого органу; -</w:t>
            </w:r>
            <w:r>
              <w:rPr>
                <w:rFonts w:ascii="Times New Roman CYR" w:hAnsi="Times New Roman CYR" w:cs="Times New Roman CYR"/>
              </w:rPr>
              <w:tab/>
              <w:t>обрання та припинення повноважень голови i членiв iнших органiв Товариства; -</w:t>
            </w:r>
            <w:r>
              <w:rPr>
                <w:rFonts w:ascii="Times New Roman CYR" w:hAnsi="Times New Roman CYR" w:cs="Times New Roman CYR"/>
              </w:rPr>
              <w:tab/>
              <w:t>призначення i звiльнення керiвника пiдроздiлу внутрiшнього аудиту (внутрiшнього аудитора); -</w:t>
            </w:r>
            <w:r>
              <w:rPr>
                <w:rFonts w:ascii="Times New Roman CYR" w:hAnsi="Times New Roman CYR" w:cs="Times New Roman CYR"/>
              </w:rPr>
              <w:tab/>
              <w:t>затвердження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 -</w:t>
            </w:r>
            <w:r>
              <w:rPr>
                <w:rFonts w:ascii="Times New Roman CYR" w:hAnsi="Times New Roman CYR" w:cs="Times New Roman CYR"/>
              </w:rPr>
              <w:tab/>
              <w:t>здiйснення контролю за своєчаснiстю надання (опублiкування) товариством достовiрної iнформацiї про його дiяльнiсть вiдповiдно до законодавства, опублiкування Товариством iнформацiї про принципи (кодекс) корпоративного управлiння Товариства; -</w:t>
            </w:r>
            <w:r>
              <w:rPr>
                <w:rFonts w:ascii="Times New Roman CYR" w:hAnsi="Times New Roman CYR" w:cs="Times New Roman CYR"/>
              </w:rPr>
              <w:tab/>
              <w:t>розгляд звiту виконавчого органу та затвердження заходiв за результатами його розгляду; -</w:t>
            </w:r>
            <w:r>
              <w:rPr>
                <w:rFonts w:ascii="Times New Roman CYR" w:hAnsi="Times New Roman CYR" w:cs="Times New Roman CYR"/>
              </w:rPr>
              <w:tab/>
              <w:t>обрання реєстрацiйної комiсiї; -</w:t>
            </w:r>
            <w:r>
              <w:rPr>
                <w:rFonts w:ascii="Times New Roman CYR" w:hAnsi="Times New Roman CYR" w:cs="Times New Roman CYR"/>
              </w:rPr>
              <w:tab/>
              <w:t>обрання аудитора (аудиторської фiрми) Товариства для проведення аудиторської перевiрки за результатами поточного та/або минулого (минулих) року (рокiв); визначення умов договору, що укладатиметься з аудитором (аудиторською фiрмою) Товариства, встановлення розмiру оплати його (її) послуг; -</w:t>
            </w:r>
            <w:r>
              <w:rPr>
                <w:rFonts w:ascii="Times New Roman CYR" w:hAnsi="Times New Roman CYR" w:cs="Times New Roman CYR"/>
              </w:rPr>
              <w:tab/>
              <w:t>затвердження рекомендацiй загальним зборам за результатами розгляду висновку зовнiшнього незалежного аудитора (аудиторської фiрми) товариства для прийняття рiшення щодо нього; -</w:t>
            </w:r>
            <w:r>
              <w:rPr>
                <w:rFonts w:ascii="Times New Roman CYR" w:hAnsi="Times New Roman CYR" w:cs="Times New Roman CYR"/>
              </w:rPr>
              <w:tab/>
              <w:t>визначення дати складення перелiку осiб, якi мають право на отримання дивiдендiв, порядку та строкiв виплати дивiдендiв; -</w:t>
            </w:r>
            <w:r>
              <w:rPr>
                <w:rFonts w:ascii="Times New Roman CYR" w:hAnsi="Times New Roman CYR" w:cs="Times New Roman CYR"/>
              </w:rPr>
              <w:tab/>
              <w:t>визначення дати складення перелiку акцiонерiв, якi мають бути повiдомленi про проведення загальних зборiв та мають право на участь у загальних зборах; -</w:t>
            </w:r>
            <w:r>
              <w:rPr>
                <w:rFonts w:ascii="Times New Roman CYR" w:hAnsi="Times New Roman CYR" w:cs="Times New Roman CYR"/>
              </w:rPr>
              <w:tab/>
              <w:t>вирiшення питань про участь Товариства у промислово-фiнансових групах та iнших об'єднаннях; -</w:t>
            </w:r>
            <w:r>
              <w:rPr>
                <w:rFonts w:ascii="Times New Roman CYR" w:hAnsi="Times New Roman CYR" w:cs="Times New Roman CYR"/>
              </w:rPr>
              <w:tab/>
              <w:t>вирiшення питань про створення та/або участь в будь-яких юридичних особах, їх реорганiзацiю та лiквiдацiю; -</w:t>
            </w:r>
            <w:r>
              <w:rPr>
                <w:rFonts w:ascii="Times New Roman CYR" w:hAnsi="Times New Roman CYR" w:cs="Times New Roman CYR"/>
              </w:rPr>
              <w:tab/>
              <w:t>вирiшення питань про створення, реорганiзацiю та/або лiквiдацiю структурних та/або вiдокремлених пiдроздiлiв Товариства; -</w:t>
            </w:r>
            <w:r>
              <w:rPr>
                <w:rFonts w:ascii="Times New Roman CYR" w:hAnsi="Times New Roman CYR" w:cs="Times New Roman CYR"/>
              </w:rPr>
              <w:tab/>
              <w:t>прийняття рiшення про надання згоди на вчинення значного правочину або про попереднє надання згоди на вчинення такого правочину, якщо ринкова вартiсть майна або послуг, що є його предметом, становить вiд 10 до 25 вiдсоткiв вартостi активiв за даними останньої рiчної фiнансової звiтностi Товариства, та про надання згоди на вчинення правочинiв iз заiнтересованiстю; -</w:t>
            </w:r>
            <w:r>
              <w:rPr>
                <w:rFonts w:ascii="Times New Roman CYR" w:hAnsi="Times New Roman CYR" w:cs="Times New Roman CYR"/>
              </w:rPr>
              <w:tab/>
              <w:t>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w:t>
            </w:r>
            <w:r>
              <w:rPr>
                <w:rFonts w:ascii="Times New Roman CYR" w:hAnsi="Times New Roman CYR" w:cs="Times New Roman CYR"/>
              </w:rPr>
              <w:tab/>
              <w:t>прийняття рiшення про обрання оцiнювача майна Товариства та затвердження умов договору, що укладатиметься з ним, встановлення розмiру оплати його послуг; -</w:t>
            </w:r>
            <w:r>
              <w:rPr>
                <w:rFonts w:ascii="Times New Roman CYR" w:hAnsi="Times New Roman CYR" w:cs="Times New Roman CYR"/>
              </w:rPr>
              <w:tab/>
              <w:t>прийняття рiшення про обрання (замiну) депозитарної установи, яка надає Товариству додатковi послуги, затвердження умов договору, що укладатиметься з нею, встановлення розмiру оплати її послуг; -</w:t>
            </w:r>
            <w:r>
              <w:rPr>
                <w:rFonts w:ascii="Times New Roman CYR" w:hAnsi="Times New Roman CYR" w:cs="Times New Roman CYR"/>
              </w:rPr>
              <w:tab/>
              <w:t>надсилання оферти акцiонерам; -</w:t>
            </w:r>
            <w:r>
              <w:rPr>
                <w:rFonts w:ascii="Times New Roman CYR" w:hAnsi="Times New Roman CYR" w:cs="Times New Roman CYR"/>
              </w:rPr>
              <w:tab/>
              <w:t>вирiшення iнших питань, що належать до виключної компетенцiї наглядової ради згiдно iз Статутом Товариства. Питання, що належать до виключної компетенцiї наглядової ради Товариства, не можуть вирiшуватися iншими органами Товариства, крiм загальних зборiв, за винятком випадкiв, встановлених законом.</w:t>
            </w:r>
          </w:p>
        </w:tc>
      </w:tr>
      <w:tr w:rsidR="00305EED">
        <w:trPr>
          <w:trHeight w:val="200"/>
        </w:trPr>
        <w:tc>
          <w:tcPr>
            <w:tcW w:w="5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Петрусь Нiна Григорiвна</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p>
        </w:tc>
        <w:tc>
          <w:tcPr>
            <w:tcW w:w="25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Функціональні обов'язки члена наглядової ради</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Наглядова рада Товариства є органом, що здiйснює захист прав акцiонерiв Товариства, i в межах компетенцiї, визначеної Статутом та законом, контролює та регулює дiяльнiсть виконавчого органу. До виключної компетенцiї наглядової ради належить: -</w:t>
            </w:r>
            <w:r>
              <w:rPr>
                <w:rFonts w:ascii="Times New Roman CYR" w:hAnsi="Times New Roman CYR" w:cs="Times New Roman CYR"/>
              </w:rPr>
              <w:tab/>
              <w:t>затвердження внутрiшнiх положень, якими регулюється дiяльнiсть Товариства, крiм тих, що вiднесенi до виключної компетенцiї загальних зборiв та тих, що рiшенням наглядової ради переданi для затвердження виконавчому органу; -</w:t>
            </w:r>
            <w:r>
              <w:rPr>
                <w:rFonts w:ascii="Times New Roman CYR" w:hAnsi="Times New Roman CYR" w:cs="Times New Roman CYR"/>
              </w:rPr>
              <w:tab/>
              <w:t>затвердження положення про винагороду членiв виконавчого органу Товариства, вимоги до якого встановлюються Нацiональною комiсiєю з цiнних паперiв та фондового ринку; -</w:t>
            </w:r>
            <w:r>
              <w:rPr>
                <w:rFonts w:ascii="Times New Roman CYR" w:hAnsi="Times New Roman CYR" w:cs="Times New Roman CYR"/>
              </w:rPr>
              <w:tab/>
              <w:t>затвердження звiту про винагороду членiв виконавчого органу Товариства, вимоги до якого встановлюються Нацiональною комiсiєю з цiнних паперiв та фондового ринку; -</w:t>
            </w:r>
            <w:r>
              <w:rPr>
                <w:rFonts w:ascii="Times New Roman CYR" w:hAnsi="Times New Roman CYR" w:cs="Times New Roman CYR"/>
              </w:rPr>
              <w:tab/>
              <w:t>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r>
              <w:rPr>
                <w:rFonts w:ascii="Times New Roman CYR" w:hAnsi="Times New Roman CYR" w:cs="Times New Roman CYR"/>
              </w:rPr>
              <w:tab/>
              <w:t>формування тимчасової лiчильної комiсiї до обрання лiчильної комiсiї рiшенням загальних зборiв Товариства; -</w:t>
            </w:r>
            <w:r>
              <w:rPr>
                <w:rFonts w:ascii="Times New Roman CYR" w:hAnsi="Times New Roman CYR" w:cs="Times New Roman CYR"/>
              </w:rPr>
              <w:tab/>
              <w:t>затвердження форми i тексту бюлетеня для голосування; -</w:t>
            </w:r>
            <w:r>
              <w:rPr>
                <w:rFonts w:ascii="Times New Roman CYR" w:hAnsi="Times New Roman CYR" w:cs="Times New Roman CYR"/>
              </w:rPr>
              <w:tab/>
              <w:t>прийняття рiшення про проведення чергових або позачергових загальних зборiв у порядку , передбаченому Статутом; -</w:t>
            </w:r>
            <w:r>
              <w:rPr>
                <w:rFonts w:ascii="Times New Roman CYR" w:hAnsi="Times New Roman CYR" w:cs="Times New Roman CYR"/>
              </w:rPr>
              <w:tab/>
              <w:t>прийняття рiшення про продаж ранiше викуплених Товариством акцiй; -</w:t>
            </w:r>
            <w:r>
              <w:rPr>
                <w:rFonts w:ascii="Times New Roman CYR" w:hAnsi="Times New Roman CYR" w:cs="Times New Roman CYR"/>
              </w:rPr>
              <w:tab/>
              <w:t>прийняття рiшення про розмiщення Товариством iнших цiнних паперiв, крiм акцiй; -</w:t>
            </w:r>
            <w:r>
              <w:rPr>
                <w:rFonts w:ascii="Times New Roman CYR" w:hAnsi="Times New Roman CYR" w:cs="Times New Roman CYR"/>
              </w:rPr>
              <w:tab/>
              <w:t>прийняття рiшення про викуп розмiщених Товариством iнших, крiм акцiй, цiнних паперiв;? -</w:t>
            </w:r>
            <w:r>
              <w:rPr>
                <w:rFonts w:ascii="Times New Roman CYR" w:hAnsi="Times New Roman CYR" w:cs="Times New Roman CYR"/>
              </w:rPr>
              <w:tab/>
              <w:t>затвердження ринкової вартостi майна; -</w:t>
            </w:r>
            <w:r>
              <w:rPr>
                <w:rFonts w:ascii="Times New Roman CYR" w:hAnsi="Times New Roman CYR" w:cs="Times New Roman CYR"/>
              </w:rPr>
              <w:tab/>
              <w:t>обрання та припинення повноважень голови i членiв виконавчого органу; -</w:t>
            </w:r>
            <w:r>
              <w:rPr>
                <w:rFonts w:ascii="Times New Roman CYR" w:hAnsi="Times New Roman CYR" w:cs="Times New Roman CYR"/>
              </w:rPr>
              <w:tab/>
              <w:t>затвердження умов контрактiв, якi укладатимуться з членами виконавчого органу, встановлення розмiру їх винагороди; -</w:t>
            </w:r>
            <w:r>
              <w:rPr>
                <w:rFonts w:ascii="Times New Roman CYR" w:hAnsi="Times New Roman CYR" w:cs="Times New Roman CYR"/>
              </w:rPr>
              <w:tab/>
              <w:t>прийняття рiшення про вiдсторонення голови або члена виконавчого органу вiд здiйснення повноважень та обрання особи, яка тимчасово здiйснюватиме повноваження голови виконавчого органу; -</w:t>
            </w:r>
            <w:r>
              <w:rPr>
                <w:rFonts w:ascii="Times New Roman CYR" w:hAnsi="Times New Roman CYR" w:cs="Times New Roman CYR"/>
              </w:rPr>
              <w:tab/>
              <w:t>обрання та припинення повноважень голови i членiв iнших органiв Товариства; -</w:t>
            </w:r>
            <w:r>
              <w:rPr>
                <w:rFonts w:ascii="Times New Roman CYR" w:hAnsi="Times New Roman CYR" w:cs="Times New Roman CYR"/>
              </w:rPr>
              <w:tab/>
              <w:t>призначення i звiльнення керiвника пiдроздiлу внутрiшнього аудиту (внутрiшнього аудитора); -</w:t>
            </w:r>
            <w:r>
              <w:rPr>
                <w:rFonts w:ascii="Times New Roman CYR" w:hAnsi="Times New Roman CYR" w:cs="Times New Roman CYR"/>
              </w:rPr>
              <w:tab/>
              <w:t>затвердження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 -</w:t>
            </w:r>
            <w:r>
              <w:rPr>
                <w:rFonts w:ascii="Times New Roman CYR" w:hAnsi="Times New Roman CYR" w:cs="Times New Roman CYR"/>
              </w:rPr>
              <w:tab/>
              <w:t>здiйснення контролю за своєчаснiстю надання (опублiкування) товариством достовiрної iнформацiї про його дiяльнiсть вiдповiдно до законодавства, опублiкування Товариством iнформацiї про принципи (кодекс) корпоративного управлiння Товариства; -</w:t>
            </w:r>
            <w:r>
              <w:rPr>
                <w:rFonts w:ascii="Times New Roman CYR" w:hAnsi="Times New Roman CYR" w:cs="Times New Roman CYR"/>
              </w:rPr>
              <w:tab/>
              <w:t>розгляд звiту виконавчого органу та затвердження заходiв за результатами його розгляду; -</w:t>
            </w:r>
            <w:r>
              <w:rPr>
                <w:rFonts w:ascii="Times New Roman CYR" w:hAnsi="Times New Roman CYR" w:cs="Times New Roman CYR"/>
              </w:rPr>
              <w:tab/>
              <w:t>обрання реєстрацiйної комiсiї; -</w:t>
            </w:r>
            <w:r>
              <w:rPr>
                <w:rFonts w:ascii="Times New Roman CYR" w:hAnsi="Times New Roman CYR" w:cs="Times New Roman CYR"/>
              </w:rPr>
              <w:tab/>
              <w:t>обрання аудитора (аудиторської фiрми) Товариства для проведення аудиторської перевiрки за результатами поточного та/або минулого (минулих) року (рокiв); визначення умов договору, що укладатиметься з аудитором (аудиторською фiрмою) Товариства, встановлення розмiру оплати його (її) послуг; -</w:t>
            </w:r>
            <w:r>
              <w:rPr>
                <w:rFonts w:ascii="Times New Roman CYR" w:hAnsi="Times New Roman CYR" w:cs="Times New Roman CYR"/>
              </w:rPr>
              <w:tab/>
              <w:t>затвердження рекомендацiй загальним зборам за результатами розгляду висновку зовнiшнього незалежного аудитора (аудиторської фiрми) товариства для прийняття рiшення щодо нього; -</w:t>
            </w:r>
            <w:r>
              <w:rPr>
                <w:rFonts w:ascii="Times New Roman CYR" w:hAnsi="Times New Roman CYR" w:cs="Times New Roman CYR"/>
              </w:rPr>
              <w:tab/>
              <w:t>визначення дати складення перелiку осiб, якi мають право на отримання дивiдендiв, порядку та строкiв виплати дивiдендiв; -</w:t>
            </w:r>
            <w:r>
              <w:rPr>
                <w:rFonts w:ascii="Times New Roman CYR" w:hAnsi="Times New Roman CYR" w:cs="Times New Roman CYR"/>
              </w:rPr>
              <w:tab/>
              <w:t>визначення дати складення перелiку акцiонерiв, якi мають бути повiдомленi про проведення загальних зборiв та мають право на участь у загальних зборах; -</w:t>
            </w:r>
            <w:r>
              <w:rPr>
                <w:rFonts w:ascii="Times New Roman CYR" w:hAnsi="Times New Roman CYR" w:cs="Times New Roman CYR"/>
              </w:rPr>
              <w:tab/>
              <w:t>вирiшення питань про участь Товариства у промислово-фiнансових групах та iнших об'єднаннях; -</w:t>
            </w:r>
            <w:r>
              <w:rPr>
                <w:rFonts w:ascii="Times New Roman CYR" w:hAnsi="Times New Roman CYR" w:cs="Times New Roman CYR"/>
              </w:rPr>
              <w:tab/>
              <w:t>вирiшення питань про створення та/або участь в будь-яких юридичних особах, їх реорганiзацiю та лiквiдацiю; -</w:t>
            </w:r>
            <w:r>
              <w:rPr>
                <w:rFonts w:ascii="Times New Roman CYR" w:hAnsi="Times New Roman CYR" w:cs="Times New Roman CYR"/>
              </w:rPr>
              <w:tab/>
              <w:t>вирiшення питань про створення, реорганiзацiю та/або лiквiдацiю структурних та/або вiдокремлених пiдроздiлiв Товариства; -</w:t>
            </w:r>
            <w:r>
              <w:rPr>
                <w:rFonts w:ascii="Times New Roman CYR" w:hAnsi="Times New Roman CYR" w:cs="Times New Roman CYR"/>
              </w:rPr>
              <w:tab/>
              <w:t>прийняття рiшення про надання згоди на вчинення значного правочину або про попереднє надання згоди на вчинення такого правочину, якщо ринкова вартiсть майна або послуг, що є його предметом, становить вiд 10 до 25 вiдсоткiв вартостi активiв за даними останньої рiчної фiнансової звiтностi Товариства, та про надання згоди на вчинення правочинiв iз заiнтересованiстю; -</w:t>
            </w:r>
            <w:r>
              <w:rPr>
                <w:rFonts w:ascii="Times New Roman CYR" w:hAnsi="Times New Roman CYR" w:cs="Times New Roman CYR"/>
              </w:rPr>
              <w:tab/>
              <w:t>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w:t>
            </w:r>
            <w:r>
              <w:rPr>
                <w:rFonts w:ascii="Times New Roman CYR" w:hAnsi="Times New Roman CYR" w:cs="Times New Roman CYR"/>
              </w:rPr>
              <w:tab/>
              <w:t>прийняття рiшення про обрання оцiнювача майна Товариства та затвердження умов договору, що укладатиметься з ним, встановлення розмiру оплати його послуг; -</w:t>
            </w:r>
            <w:r>
              <w:rPr>
                <w:rFonts w:ascii="Times New Roman CYR" w:hAnsi="Times New Roman CYR" w:cs="Times New Roman CYR"/>
              </w:rPr>
              <w:tab/>
              <w:t>прийняття рiшення про обрання (замiну) депозитарної установи, яка надає Товариству додатковi послуги, затвердження умов договору, що укладатиметься з нею, встановлення розмiру оплати її послуг; -</w:t>
            </w:r>
            <w:r>
              <w:rPr>
                <w:rFonts w:ascii="Times New Roman CYR" w:hAnsi="Times New Roman CYR" w:cs="Times New Roman CYR"/>
              </w:rPr>
              <w:tab/>
              <w:t>надсилання оферти акцiонерам; -</w:t>
            </w:r>
            <w:r>
              <w:rPr>
                <w:rFonts w:ascii="Times New Roman CYR" w:hAnsi="Times New Roman CYR" w:cs="Times New Roman CYR"/>
              </w:rPr>
              <w:tab/>
              <w:t>вирiшення iнших питань, що належать до виключної компетенцiї наглядової ради згiдно iз Статутом Товариства. Питання, що належать до виключної компетенцiї наглядової ради Товариства, не можуть вирiшуватися iншими органами Товариства, крiм загальних зборiв, за винятком випадкiв, встановлених законом.</w:t>
            </w:r>
          </w:p>
        </w:tc>
      </w:tr>
      <w:tr w:rsidR="00305EED">
        <w:trPr>
          <w:trHeight w:val="200"/>
        </w:trPr>
        <w:tc>
          <w:tcPr>
            <w:tcW w:w="5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Колодяжний Микола Володимирович</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p>
        </w:tc>
        <w:tc>
          <w:tcPr>
            <w:tcW w:w="25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Функціональні обов'язки члена наглядової ради</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Наглядова рада Товариства є органом, що здiйснює захист прав акцiонерiв Товариства, i в межах компетенцiї, визначеної Статутом та законом, контролює та регулює дiяльнiсть виконавчого органу. До виключної компетенцiї наглядової ради належить: -</w:t>
            </w:r>
            <w:r>
              <w:rPr>
                <w:rFonts w:ascii="Times New Roman CYR" w:hAnsi="Times New Roman CYR" w:cs="Times New Roman CYR"/>
              </w:rPr>
              <w:tab/>
              <w:t>затвердження внутрiшнiх положень, якими регулюється дiяльнiсть Товариства, крiм тих, що вiднесенi до виключної компетенцiї загальних зборiв та тих, що рiшенням наглядової ради переданi для затвердження виконавчому органу; -</w:t>
            </w:r>
            <w:r>
              <w:rPr>
                <w:rFonts w:ascii="Times New Roman CYR" w:hAnsi="Times New Roman CYR" w:cs="Times New Roman CYR"/>
              </w:rPr>
              <w:tab/>
              <w:t>затвердження положення про винагороду членiв виконавчого органу Товариства, вимоги до якого встановлюються Нацiональною комiсiєю з цiнних паперiв та фондового ринку; -</w:t>
            </w:r>
            <w:r>
              <w:rPr>
                <w:rFonts w:ascii="Times New Roman CYR" w:hAnsi="Times New Roman CYR" w:cs="Times New Roman CYR"/>
              </w:rPr>
              <w:tab/>
              <w:t>затвердження звiту про винагороду членiв виконавчого органу Товариства, вимоги до якого встановлюються Нацiональною комiсiєю з цiнних паперiв та фондового ринку; -</w:t>
            </w:r>
            <w:r>
              <w:rPr>
                <w:rFonts w:ascii="Times New Roman CYR" w:hAnsi="Times New Roman CYR" w:cs="Times New Roman CYR"/>
              </w:rPr>
              <w:tab/>
              <w:t>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r>
              <w:rPr>
                <w:rFonts w:ascii="Times New Roman CYR" w:hAnsi="Times New Roman CYR" w:cs="Times New Roman CYR"/>
              </w:rPr>
              <w:tab/>
              <w:t>формування тимчасової лiчильної комiсiї до обрання лiчильної комiсiї рiшенням загальних зборiв Товариства; -</w:t>
            </w:r>
            <w:r>
              <w:rPr>
                <w:rFonts w:ascii="Times New Roman CYR" w:hAnsi="Times New Roman CYR" w:cs="Times New Roman CYR"/>
              </w:rPr>
              <w:tab/>
              <w:t>затвердження форми i тексту бюлетеня для голосування; -</w:t>
            </w:r>
            <w:r>
              <w:rPr>
                <w:rFonts w:ascii="Times New Roman CYR" w:hAnsi="Times New Roman CYR" w:cs="Times New Roman CYR"/>
              </w:rPr>
              <w:tab/>
              <w:t>прийняття рiшення про проведення чергових або позачергових загальних зборiв у порядку , передбаченому Статутом; -</w:t>
            </w:r>
            <w:r>
              <w:rPr>
                <w:rFonts w:ascii="Times New Roman CYR" w:hAnsi="Times New Roman CYR" w:cs="Times New Roman CYR"/>
              </w:rPr>
              <w:tab/>
              <w:t>прийняття рiшення про продаж ранiше викуплених Товариством акцiй; -</w:t>
            </w:r>
            <w:r>
              <w:rPr>
                <w:rFonts w:ascii="Times New Roman CYR" w:hAnsi="Times New Roman CYR" w:cs="Times New Roman CYR"/>
              </w:rPr>
              <w:tab/>
              <w:t>прийняття рiшення про розмiщення Товариством iнших цiнних паперiв, крiм акцiй; -</w:t>
            </w:r>
            <w:r>
              <w:rPr>
                <w:rFonts w:ascii="Times New Roman CYR" w:hAnsi="Times New Roman CYR" w:cs="Times New Roman CYR"/>
              </w:rPr>
              <w:tab/>
              <w:t>прийняття рiшення про викуп розмiщених Товариством iнших, крiм акцiй, цiнних паперiв;? -</w:t>
            </w:r>
            <w:r>
              <w:rPr>
                <w:rFonts w:ascii="Times New Roman CYR" w:hAnsi="Times New Roman CYR" w:cs="Times New Roman CYR"/>
              </w:rPr>
              <w:tab/>
              <w:t>затвердження ринкової вартостi майна; -</w:t>
            </w:r>
            <w:r>
              <w:rPr>
                <w:rFonts w:ascii="Times New Roman CYR" w:hAnsi="Times New Roman CYR" w:cs="Times New Roman CYR"/>
              </w:rPr>
              <w:tab/>
              <w:t>обрання та припинення повноважень голови i членiв виконавчого органу; -</w:t>
            </w:r>
            <w:r>
              <w:rPr>
                <w:rFonts w:ascii="Times New Roman CYR" w:hAnsi="Times New Roman CYR" w:cs="Times New Roman CYR"/>
              </w:rPr>
              <w:tab/>
              <w:t>затвердження умов контрактiв, якi укладатимуться з членами виконавчого органу, встановлення розмiру їх винагороди; -</w:t>
            </w:r>
            <w:r>
              <w:rPr>
                <w:rFonts w:ascii="Times New Roman CYR" w:hAnsi="Times New Roman CYR" w:cs="Times New Roman CYR"/>
              </w:rPr>
              <w:tab/>
              <w:t>прийняття рiшення про вiдсторонення голови або члена виконавчого органу вiд здiйснення повноважень та обрання особи, яка тимчасово здiйснюватиме повноваження голови виконавчого органу; -</w:t>
            </w:r>
            <w:r>
              <w:rPr>
                <w:rFonts w:ascii="Times New Roman CYR" w:hAnsi="Times New Roman CYR" w:cs="Times New Roman CYR"/>
              </w:rPr>
              <w:tab/>
              <w:t>обрання та припинення повноважень голови i членiв iнших органiв Товариства; -</w:t>
            </w:r>
            <w:r>
              <w:rPr>
                <w:rFonts w:ascii="Times New Roman CYR" w:hAnsi="Times New Roman CYR" w:cs="Times New Roman CYR"/>
              </w:rPr>
              <w:tab/>
              <w:t>призначення i звiльнення керiвника пiдроздiлу внутрiшнього аудиту (внутрiшнього аудитора); -</w:t>
            </w:r>
            <w:r>
              <w:rPr>
                <w:rFonts w:ascii="Times New Roman CYR" w:hAnsi="Times New Roman CYR" w:cs="Times New Roman CYR"/>
              </w:rPr>
              <w:tab/>
              <w:t>затвердження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 -</w:t>
            </w:r>
            <w:r>
              <w:rPr>
                <w:rFonts w:ascii="Times New Roman CYR" w:hAnsi="Times New Roman CYR" w:cs="Times New Roman CYR"/>
              </w:rPr>
              <w:tab/>
              <w:t>здiйснення контролю за своєчаснiстю надання (опублiкування) товариством достовiрної iнформацiї про його дiяльнiсть вiдповiдно до законодавства, опублiкування Товариством iнформацiї про принципи (кодекс) корпоративного управлiння Товариства; -</w:t>
            </w:r>
            <w:r>
              <w:rPr>
                <w:rFonts w:ascii="Times New Roman CYR" w:hAnsi="Times New Roman CYR" w:cs="Times New Roman CYR"/>
              </w:rPr>
              <w:tab/>
              <w:t>розгляд звiту виконавчого органу та затвердження заходiв за результатами його розгляду; -</w:t>
            </w:r>
            <w:r>
              <w:rPr>
                <w:rFonts w:ascii="Times New Roman CYR" w:hAnsi="Times New Roman CYR" w:cs="Times New Roman CYR"/>
              </w:rPr>
              <w:tab/>
              <w:t>обрання реєстрацiйної комiсiї; -</w:t>
            </w:r>
            <w:r>
              <w:rPr>
                <w:rFonts w:ascii="Times New Roman CYR" w:hAnsi="Times New Roman CYR" w:cs="Times New Roman CYR"/>
              </w:rPr>
              <w:tab/>
              <w:t>обрання аудитора (аудиторської фiрми) Товариства для проведення аудиторської перевiрки за результатами поточного та/або минулого (минулих) року (рокiв); визначення умов договору, що укладатиметься з аудитором (аудиторською фiрмою) Товариства, встановлення розмiру оплати його (її) послуг; -</w:t>
            </w:r>
            <w:r>
              <w:rPr>
                <w:rFonts w:ascii="Times New Roman CYR" w:hAnsi="Times New Roman CYR" w:cs="Times New Roman CYR"/>
              </w:rPr>
              <w:tab/>
              <w:t>затвердження рекомендацiй загальним зборам за результатами розгляду висновку зовнiшнього незалежного аудитора (аудиторської фiрми) товариства для прийняття рiшення щодо нього; -</w:t>
            </w:r>
            <w:r>
              <w:rPr>
                <w:rFonts w:ascii="Times New Roman CYR" w:hAnsi="Times New Roman CYR" w:cs="Times New Roman CYR"/>
              </w:rPr>
              <w:tab/>
              <w:t>визначення дати складення перелiку осiб, якi мають право на отримання дивiдендiв, порядку та строкiв виплати дивiдендiв; -</w:t>
            </w:r>
            <w:r>
              <w:rPr>
                <w:rFonts w:ascii="Times New Roman CYR" w:hAnsi="Times New Roman CYR" w:cs="Times New Roman CYR"/>
              </w:rPr>
              <w:tab/>
              <w:t>визначення дати складення перелiку акцiонерiв, якi мають бути повiдомленi про проведення загальних зборiв та мають право на участь у загальних зборах; -</w:t>
            </w:r>
            <w:r>
              <w:rPr>
                <w:rFonts w:ascii="Times New Roman CYR" w:hAnsi="Times New Roman CYR" w:cs="Times New Roman CYR"/>
              </w:rPr>
              <w:tab/>
              <w:t>вирiшення питань про участь Товариства у промислово-фiнансових групах та iнших об'єднаннях; -</w:t>
            </w:r>
            <w:r>
              <w:rPr>
                <w:rFonts w:ascii="Times New Roman CYR" w:hAnsi="Times New Roman CYR" w:cs="Times New Roman CYR"/>
              </w:rPr>
              <w:tab/>
              <w:t>вирiшення питань про створення та/або участь в будь-яких юридичних особах, їх реорганiзацiю та лiквiдацiю; -</w:t>
            </w:r>
            <w:r>
              <w:rPr>
                <w:rFonts w:ascii="Times New Roman CYR" w:hAnsi="Times New Roman CYR" w:cs="Times New Roman CYR"/>
              </w:rPr>
              <w:tab/>
              <w:t>вирiшення питань про створення, реорганiзацiю та/або лiквiдацiю структурних та/або вiдокремлених пiдроздiлiв Товариства; -</w:t>
            </w:r>
            <w:r>
              <w:rPr>
                <w:rFonts w:ascii="Times New Roman CYR" w:hAnsi="Times New Roman CYR" w:cs="Times New Roman CYR"/>
              </w:rPr>
              <w:tab/>
              <w:t>прийняття рiшення про надання згоди на вчинення значного правочину або про попереднє надання згоди на вчинення такого правочину, якщо ринкова вартiсть майна або послуг, що є його предметом, становить вiд 10 до 25 вiдсоткiв вартостi активiв за даними останньої рiчної фiнансової звiтностi Товариства, та про надання згоди на вчинення правочинiв iз заiнтересованiстю; -</w:t>
            </w:r>
            <w:r>
              <w:rPr>
                <w:rFonts w:ascii="Times New Roman CYR" w:hAnsi="Times New Roman CYR" w:cs="Times New Roman CYR"/>
              </w:rPr>
              <w:tab/>
              <w:t>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w:t>
            </w:r>
            <w:r>
              <w:rPr>
                <w:rFonts w:ascii="Times New Roman CYR" w:hAnsi="Times New Roman CYR" w:cs="Times New Roman CYR"/>
              </w:rPr>
              <w:tab/>
              <w:t>прийняття рiшення про обрання оцiнювача майна Товариства та затвердження умов договору, що укладатиметься з ним, встановлення розмiру оплати його послуг; -</w:t>
            </w:r>
            <w:r>
              <w:rPr>
                <w:rFonts w:ascii="Times New Roman CYR" w:hAnsi="Times New Roman CYR" w:cs="Times New Roman CYR"/>
              </w:rPr>
              <w:tab/>
              <w:t>прийняття рiшення про обрання (замiну) депозитарної установи, яка надає Товариству додатковi послуги, затвердження умов договору, що укладатиметься з нею, встановлення розмiру оплати її послуг; -</w:t>
            </w:r>
            <w:r>
              <w:rPr>
                <w:rFonts w:ascii="Times New Roman CYR" w:hAnsi="Times New Roman CYR" w:cs="Times New Roman CYR"/>
              </w:rPr>
              <w:tab/>
              <w:t>надсилання оферти акцiонерам; -</w:t>
            </w:r>
            <w:r>
              <w:rPr>
                <w:rFonts w:ascii="Times New Roman CYR" w:hAnsi="Times New Roman CYR" w:cs="Times New Roman CYR"/>
              </w:rPr>
              <w:tab/>
              <w:t>вирiшення iнших питань, що належать до виключної компетенцiї наглядової ради згiдно iз Статутом Товариства. Питання, що належать до виключної компетенцiї наглядової ради Товариства, не можуть вирiшуватися iншими органами Товариства, крiм загальних зборiв, за винятком випадкiв, встановлених законом.</w:t>
            </w:r>
          </w:p>
        </w:tc>
      </w:tr>
    </w:tbl>
    <w:p w:rsidR="00305EED" w:rsidRDefault="00305EED">
      <w:pPr>
        <w:widowControl w:val="0"/>
        <w:autoSpaceDE w:val="0"/>
        <w:autoSpaceDN w:val="0"/>
        <w:adjustRightInd w:val="0"/>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Чи проведені засідання наглядової ради, загальний опис прийнятих на них рішень; 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 звiтний перiод було проведено 30 засiдань наглядової ради. На засiданнях розглядались питання по яких були прийнятi вiдповiднi рiшення: _</w:t>
            </w:r>
            <w:r>
              <w:rPr>
                <w:rFonts w:ascii="Times New Roman CYR" w:hAnsi="Times New Roman CYR" w:cs="Times New Roman CYR"/>
              </w:rPr>
              <w:tab/>
              <w:t>Про скликання та проведення рiчних Загальних зборiв акцiонерiв Товариства. Затвердження порядку денного рiчних Загальних зборiв акцiонерiв Товариства; _</w:t>
            </w:r>
            <w:r>
              <w:rPr>
                <w:rFonts w:ascii="Times New Roman CYR" w:hAnsi="Times New Roman CYR" w:cs="Times New Roman CYR"/>
              </w:rPr>
              <w:tab/>
              <w:t>Про надання згоди  на купiвлю-продаж, оформлення та  реєстрацiю транспортних засобiв; _</w:t>
            </w:r>
            <w:r>
              <w:rPr>
                <w:rFonts w:ascii="Times New Roman CYR" w:hAnsi="Times New Roman CYR" w:cs="Times New Roman CYR"/>
              </w:rPr>
              <w:tab/>
              <w:t>Про надання згоди на укладення та нотарiальне посвiдчення  договорiв про купiвлю-продаж квартир; _</w:t>
            </w:r>
            <w:r>
              <w:rPr>
                <w:rFonts w:ascii="Times New Roman CYR" w:hAnsi="Times New Roman CYR" w:cs="Times New Roman CYR"/>
              </w:rPr>
              <w:tab/>
              <w:t>Про надання згоди  на укладення договору купiвлi-продажу частки у статутному капiталi Товариства з обмеженою вiдповiдальнiстю "ЄВРОФАРМА"; _</w:t>
            </w:r>
            <w:r>
              <w:rPr>
                <w:rFonts w:ascii="Times New Roman CYR" w:hAnsi="Times New Roman CYR" w:cs="Times New Roman CYR"/>
              </w:rPr>
              <w:tab/>
              <w:t>Про надання згоди  на вчинення усiх видiв значних правочинiв, якi будуть вчинятися Приватним акцiонерним товариством "Агробудмеханiзацiя" у ходi поточної дiяльностi протягом 2020 фiнансового року, якщо ринкова вартiсть майна або послуг, що є їх предметом, становить вiд 10 до 25 вiдсоткiв вартостi активiв за даними останньої рiчної фiнансової звiтностi акцiонерного товариства; _</w:t>
            </w:r>
            <w:r>
              <w:rPr>
                <w:rFonts w:ascii="Times New Roman CYR" w:hAnsi="Times New Roman CYR" w:cs="Times New Roman CYR"/>
              </w:rPr>
              <w:tab/>
              <w:t>Про проведення аудиту (аудиторської перевiрки) повного пакету рiчної фiнансової звiтностi Приватного акцiонерного товариства "Агробудмеханiзацiя" (код ЄДРПОУ 13708491) за 2019 рiк; _</w:t>
            </w:r>
            <w:r>
              <w:rPr>
                <w:rFonts w:ascii="Times New Roman CYR" w:hAnsi="Times New Roman CYR" w:cs="Times New Roman CYR"/>
              </w:rPr>
              <w:tab/>
              <w:t>Про затвердження рiчної iнформацiї емiтента цiнних паперiв (ПрАТ "Агробудмеханiзацiя", код ЄДРПОУ 13708491) за 2019 рiк; _</w:t>
            </w:r>
            <w:r>
              <w:rPr>
                <w:rFonts w:ascii="Times New Roman CYR" w:hAnsi="Times New Roman CYR" w:cs="Times New Roman CYR"/>
              </w:rPr>
              <w:tab/>
              <w:t>Про звернення Товариства до АТ "СБЕРБАНК" з метою продовження строку кредитування; _</w:t>
            </w:r>
            <w:r>
              <w:rPr>
                <w:rFonts w:ascii="Times New Roman CYR" w:hAnsi="Times New Roman CYR" w:cs="Times New Roman CYR"/>
              </w:rPr>
              <w:tab/>
              <w:t>Про порядок та строк виплати дивiдендiв; _</w:t>
            </w:r>
            <w:r>
              <w:rPr>
                <w:rFonts w:ascii="Times New Roman CYR" w:hAnsi="Times New Roman CYR" w:cs="Times New Roman CYR"/>
              </w:rPr>
              <w:tab/>
              <w:t>Про внесення змiн до вiдомостей Єдиного державного  реєстру юридичних осiб, фiзичних осiб-пiдприємцiв та громадських формувань про учасникiв концерну "Київоблмiськбуд".</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Комітети в складі наглядової ради </w:t>
      </w:r>
      <w:r>
        <w:rPr>
          <w:rFonts w:ascii="Times New Roman CYR" w:hAnsi="Times New Roman CYR" w:cs="Times New Roman CYR"/>
        </w:rPr>
        <w:t>(за наявності)</w:t>
      </w:r>
      <w:r>
        <w:rPr>
          <w:rFonts w:ascii="Times New Roman CYR" w:hAnsi="Times New Roman CYR" w:cs="Times New Roman CYR"/>
          <w:b/>
          <w:bCs/>
        </w:rPr>
        <w:t>?</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2000"/>
        <w:gridCol w:w="2000"/>
        <w:gridCol w:w="3000"/>
      </w:tblGrid>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3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Персональний склад комітетів</w:t>
            </w: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питань аудиту</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3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питань призначень</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3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винагород</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3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(зазначити)</w:t>
            </w:r>
          </w:p>
        </w:tc>
        <w:tc>
          <w:tcPr>
            <w:tcW w:w="4000" w:type="dxa"/>
            <w:gridSpan w:val="2"/>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Комiтети не створювались.</w:t>
            </w:r>
          </w:p>
        </w:tc>
        <w:tc>
          <w:tcPr>
            <w:tcW w:w="3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Комiтети не створювались.</w:t>
            </w:r>
          </w:p>
        </w:tc>
      </w:tr>
    </w:tbl>
    <w:p w:rsidR="00305EED" w:rsidRDefault="00305EED">
      <w:pPr>
        <w:widowControl w:val="0"/>
        <w:autoSpaceDE w:val="0"/>
        <w:autoSpaceDN w:val="0"/>
        <w:adjustRightInd w:val="0"/>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Чи проведені засідання комітетів наглядової ради, загальний опис прийнятих на них рішень</w:t>
            </w:r>
          </w:p>
        </w:tc>
        <w:tc>
          <w:tcPr>
            <w:tcW w:w="7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Комiтети не створювались.</w:t>
            </w:r>
          </w:p>
        </w:tc>
      </w:tr>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У разі проведення оцінки роботи комітетів зазначається інформація щодо їх компетентності та ефективності</w:t>
            </w:r>
          </w:p>
        </w:tc>
        <w:tc>
          <w:tcPr>
            <w:tcW w:w="7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Комiтети не створювались.</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Інформація про діяльність наглядової ради та оцінка її роботи</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Оцінка роботи наглядової ради</w:t>
            </w:r>
          </w:p>
        </w:tc>
        <w:tc>
          <w:tcPr>
            <w:tcW w:w="7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Оцiнка складу, структури та дiяльностi як колегiального органу, компетентностi та ефективностi кожного члена ради.  Рiчними черговими загальними зборами акцiонерiв Товариства, що вiдбулись 28.04.2020 року, взято до вiдома звiт Наглядової ради Товариства про роботу у 2019 роцi та визнано роботу Наглядової ради Товариства у 2019 роцi задовiльною та такою, що вiдповiдає iнтересам Товариства. За наслiдками розгляду звiту Наглядової ради Товариства заходи не приймались. Iншими органами Товариства не розглядались та не приймались рiшення по питанням оцiнки складу, структури Наглядової ради та її дiяльностi як колегiального органу, компетентностi та ефективностi та незалежностi кожного члена ради, виконання наглядовою радою поставлених цiлей.  Комiтети Наглядової ради не утворювались, i вiдповiдно, не надається iнформацiя щодо компетентностi та ефективностi кожного з комiтетiв ради, iнформацiя про перелiк та персональний склад комiтетiв, їхнi функцiональнi повноваження, кiлькiсть проведених засiдань та опис основних питань, якими займалися комiтети, iнформацiю комiтету Наглядової ради з питань аудиту щодо незалежностi проведеного зовнiшнього аудиту товариства, зокрема незалежностi аудитора (аудиторської фiрми).</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Які з вимог до членів наглядової ради викладені у внутрішніх документах акціонерного товариства?</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Галузеві знання і досвід роботи в галузі</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Знання у сфері фінансів і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Особисті якості (чесність, відповідальність)</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Відсутність конфлікту інтересів</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Граничний вік</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Відсутні будь-які вимоги</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(зазначити)</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д/н</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Коли останній раз обирався новий член наглядової ради, як він ознайомився зі своїми правами та обов'язками?</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Новий член наглядової ради самостійно ознайомився зі змістом внутрішніх документів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Було проведено засідання наглядової ради, на якому нового члена наглядової ради ознайомили з його правами та обов'язками</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Для нового члена наглядової ради було організовано спеціальне навчання (з корпоративного управління або фінансового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Усіх членів наглядової ради було переобрано на повторний строк або не було обрано нового члена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(зазначити)</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д/н</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Як визначається розмір винагороди членів наглядової ради?</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Винагорода є фіксованою сумою</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Винагорода є відсотком від чистого прибутку або збільшення ринкової вартості акцій</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Винагорода виплачується у вигляді цінних паперів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Члени наглядової ради не отримують винагороди</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(запишіть)</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д/н</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Склад виконавчого органу</w:t>
      </w:r>
    </w:p>
    <w:p w:rsidR="00305EED" w:rsidRDefault="00305EED">
      <w:pPr>
        <w:widowControl w:val="0"/>
        <w:autoSpaceDE w:val="0"/>
        <w:autoSpaceDN w:val="0"/>
        <w:adjustRightInd w:val="0"/>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Персональний склад виконавчого органу</w:t>
            </w:r>
          </w:p>
        </w:tc>
        <w:tc>
          <w:tcPr>
            <w:tcW w:w="7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Функціональні обов'язки члена виконавчого органу</w:t>
            </w:r>
          </w:p>
        </w:tc>
      </w:tr>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Голова правлiння  Шалiмов Володимир Iллiч; Член правлiння Бiлошапка Анатолiй Миколайович; Член правлiння Шалiмов Iгор Володимирович.</w:t>
            </w:r>
          </w:p>
        </w:tc>
        <w:tc>
          <w:tcPr>
            <w:tcW w:w="7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До компетенцiї правлiння належить вирiшення всiх питань, пов'язаних з керiвництвом поточною дiяльнiстю Товариства, крiм питань, що належать до виключної компетенцiї загальних зборiв. Правлiння пiдзвiтне загальним зборам, органiзовує виконання їх рiшень. Правлiння дiє вiд iменi Товариства у межах, встановлених Статутом i законом.</w:t>
            </w:r>
          </w:p>
        </w:tc>
      </w:tr>
    </w:tbl>
    <w:p w:rsidR="00305EED" w:rsidRDefault="00305EED">
      <w:pPr>
        <w:widowControl w:val="0"/>
        <w:autoSpaceDE w:val="0"/>
        <w:autoSpaceDN w:val="0"/>
        <w:adjustRightInd w:val="0"/>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Чи проведені засідання виконавчого органу: загальний опис прийнятих на них рішень; інформація про результати роботи виконавчого органу; визначення, як діяльність виконавчого органу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Засiдання правлiння скликаються головою правлiння не менш нiж один раз на мiсяць. Кожний член правлiння має право вимагати проведення засiдання правлiння та вносити питання до порядку денного засiдання. На засiданнi правлiння ведеться протокол. Протокол засiдання правлiння пiдписується головуючим та надається для ознайомлення на вимогу члена правлiння або представника профспiлкового або iншого уповноваженого трудовим колективом органу, який пiдписав колективний договiр вiд iменi трудового колективу органу. Голова правлiння органiзовує роботу правлiння, скликає засiдання, забезпечує ведення протоколiв засiдань. Рiшення на засiданнях правлiння приймаються простою бiльшiстю голосiв учасникiв засiдання, у випадку рiвного розподiлення голосiв, голос голови правлiння є вирiшальним. Голова правлiння має право без довiреностi дiяти вiд iменi Товариства, вiдповiдно до рiшень правлiння, в тому числi представляти iнтереси Товариства, вчиняти правочини вiд iменi Товариства, видавати накази та давати розпорядження, обов'язковi для виконання всiма працiвниками Товариства. У разi неможливостi виконання головою правлiння своїх повноважень за рiшенням правлiння його повноваження здiйснює один iз членiв правлiння. Iншi особи можуть дiяти вiд iменi Товариства у порядку представництва, передбаченому Цивiльним кодексом України. У звiтному перiодi Правлiння здiйснювало управлiння поточною дiяльнiстю Товариства.</w:t>
            </w:r>
          </w:p>
        </w:tc>
      </w:tr>
    </w:tbl>
    <w:p w:rsidR="00305EED" w:rsidRDefault="00305EED">
      <w:pPr>
        <w:widowControl w:val="0"/>
        <w:autoSpaceDE w:val="0"/>
        <w:autoSpaceDN w:val="0"/>
        <w:adjustRightInd w:val="0"/>
        <w:rPr>
          <w:rFonts w:ascii="Times New Roman CYR" w:hAnsi="Times New Roman CYR" w:cs="Times New Roman CYR"/>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305EED">
        <w:trPr>
          <w:trHeight w:val="200"/>
        </w:trPr>
        <w:tc>
          <w:tcPr>
            <w:tcW w:w="3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Оцінка роботи виконавчого органу</w:t>
            </w:r>
          </w:p>
        </w:tc>
        <w:tc>
          <w:tcPr>
            <w:tcW w:w="7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Рiчними черговими загальними зборами акцiонерiв Товариства, що вiдбулись 28.04.2020 р., було взято до вiдома звiт Правлiння Товариства про роботу у 2019 роцi та визнано роботу Правлiння Товариства у 2019 роцi задовiльною та такою, що вiдповiдає iнтересам Товариства. Органами Товариства не розглядались та не приймались рiшення по питанням оцiнки складу та компетенцiї Правлiння.</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Примітки</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Персональний склад наглядової ради. Наглядова рада Товариства обрана у складi iз 3 осiб: Бойко Катерина Сергiївна</w:t>
      </w:r>
      <w:r>
        <w:rPr>
          <w:rFonts w:ascii="Times New Roman CYR" w:hAnsi="Times New Roman CYR" w:cs="Times New Roman CYR"/>
        </w:rPr>
        <w:tab/>
        <w:t>Голова наглядової ради Колодяжний Микола Володимирович</w:t>
      </w:r>
      <w:r>
        <w:rPr>
          <w:rFonts w:ascii="Times New Roman CYR" w:hAnsi="Times New Roman CYR" w:cs="Times New Roman CYR"/>
        </w:rPr>
        <w:tab/>
        <w:t>Член наглядової ради Петрусь Нiна Григорiвна</w:t>
      </w:r>
      <w:r>
        <w:rPr>
          <w:rFonts w:ascii="Times New Roman CYR" w:hAnsi="Times New Roman CYR" w:cs="Times New Roman CYR"/>
        </w:rPr>
        <w:tab/>
        <w:t>Член Наглядової ради  Комiтети Наглядової ради: У складi Наглядової ради Товариства комiтети не створювались.  Iнформацiя про проведенi засiдання та загальний опис прийнятих на них рiшень.    За звiтний перiод було проведено 30 засiдань наглядової ради. На засiданнях розглядались питання по яких були прийнятi вiдповiднi рiшення: _</w:t>
      </w:r>
      <w:r>
        <w:rPr>
          <w:rFonts w:ascii="Times New Roman CYR" w:hAnsi="Times New Roman CYR" w:cs="Times New Roman CYR"/>
        </w:rPr>
        <w:tab/>
        <w:t>Про скликання та проведення рiчних Загальних зборiв акцiонерiв Товариства. Затвердження порядку денного рiчних Загальних зборiв акцiонерiв Товариства; _</w:t>
      </w:r>
      <w:r>
        <w:rPr>
          <w:rFonts w:ascii="Times New Roman CYR" w:hAnsi="Times New Roman CYR" w:cs="Times New Roman CYR"/>
        </w:rPr>
        <w:tab/>
        <w:t>Про надання згоди  на купiвлю-продаж, оформлення та  реєстрацiю транспортних засобiв; _</w:t>
      </w:r>
      <w:r>
        <w:rPr>
          <w:rFonts w:ascii="Times New Roman CYR" w:hAnsi="Times New Roman CYR" w:cs="Times New Roman CYR"/>
        </w:rPr>
        <w:tab/>
        <w:t>Про надання згоди на укладення та нотарiальне посвiдчення  договорiв про купiвлю-продаж квартир; _</w:t>
      </w:r>
      <w:r>
        <w:rPr>
          <w:rFonts w:ascii="Times New Roman CYR" w:hAnsi="Times New Roman CYR" w:cs="Times New Roman CYR"/>
        </w:rPr>
        <w:tab/>
        <w:t>Про надання згоди  на укладення договору купiвлi-продажу частки у статутному капiталi Товариства з обмеженою вiдповiдальнiстю "ЄВРОФАРМА"; _</w:t>
      </w:r>
      <w:r>
        <w:rPr>
          <w:rFonts w:ascii="Times New Roman CYR" w:hAnsi="Times New Roman CYR" w:cs="Times New Roman CYR"/>
        </w:rPr>
        <w:tab/>
        <w:t>Про надання згоди  на вчинення усiх видiв значних правочинiв, якi будуть вчинятися Приватним акцiонерним товариством "Агробудмеханiзацiя" у ходi поточної дiяльностi протягом 2020 фiнансового року, якщо ринкова вартiсть майна або послуг, що є їх предметом, становить вiд 10 до 25 вiдсоткiв вартостi активiв за даними останньої рiчної фiнансової звiтностi акцiонерного товариства; _</w:t>
      </w:r>
      <w:r>
        <w:rPr>
          <w:rFonts w:ascii="Times New Roman CYR" w:hAnsi="Times New Roman CYR" w:cs="Times New Roman CYR"/>
        </w:rPr>
        <w:tab/>
        <w:t>Про проведення аудиту (аудиторської перевiрки) повного пакету рiчної фiнансової звiтностi Приватного акцiонерного товариства "Агробудмеханiзацiя" (код ЄДРПОУ 13708491) за 2019 рiк; _</w:t>
      </w:r>
      <w:r>
        <w:rPr>
          <w:rFonts w:ascii="Times New Roman CYR" w:hAnsi="Times New Roman CYR" w:cs="Times New Roman CYR"/>
        </w:rPr>
        <w:tab/>
        <w:t>Про затвердження рiчної iнформацiї емiтента цiнних паперiв (ПрАТ "Агробудмеханiзацiя", код ЄДРПОУ 13708491) за 2019 рiк; _</w:t>
      </w:r>
      <w:r>
        <w:rPr>
          <w:rFonts w:ascii="Times New Roman CYR" w:hAnsi="Times New Roman CYR" w:cs="Times New Roman CYR"/>
        </w:rPr>
        <w:tab/>
        <w:t>Про звернення Товариства до АТ "СБЕРБАНК" з метою продовження строку кредитування; _</w:t>
      </w:r>
      <w:r>
        <w:rPr>
          <w:rFonts w:ascii="Times New Roman CYR" w:hAnsi="Times New Roman CYR" w:cs="Times New Roman CYR"/>
        </w:rPr>
        <w:tab/>
        <w:t>Про порядок та строк виплати дивiдендiв; _</w:t>
      </w:r>
      <w:r>
        <w:rPr>
          <w:rFonts w:ascii="Times New Roman CYR" w:hAnsi="Times New Roman CYR" w:cs="Times New Roman CYR"/>
        </w:rPr>
        <w:tab/>
        <w:t>Про внесення змiн до вiдомостей Єдиного державного  реєстру юридичних осiб, фiзичних осiб-пiдприємцiв та громадських формувань про учасникiв концерну "Київоблмiськбуд".  Внутрiшня структура та функцiональнi обов'язки кожного члена Наглядової ради, процедури, що застосовуються при прийняттi нею рiшень. У Товариствi за рiшенням загальних зборiв створюється наглядова рада. У випадку, якщо кiлькiсть акцiонерiв Товариства становить 10 i бiльше осiб i всi акцiонери є афiлiйованими один до одного, створення наглядової ради є необов'язковим. У випадку, якщо наглядова рада не буде створена у Товариствi її повноваження здiйснюються загальними зборами. У такому разi передбаченi цим Статутом повноваження наглядової ради з пiдготовки та проведення загальних зборiв здiйснюються виконавчим органом. Наглядова рада обирається у кiлькостi 3 осiб. Голова наглядової ради органiзовує її роботу, скликає засiдання наглядової ради та головує на них, вiдкриває загальнi збори, органiзовує обрання секретаря загальних зборiв, здiйснює iншi повноваження, передбаченi Статутом.  У разi неможливостi виконання головою наглядової ради своїх повноважень його повноваження здiйснює один iз членiв наглядової ради за її рiшенням. Засiдання наглядової ради скликаються за iнiцiативою голови наглядової ради або на вимогу члена наглядової ради. Засiдання наглядової ради проводяться в мiру необхiдностi не рiдше одного разу на квартал. Наглядова рада може приймати рiшення шляхом проведення заочного голосування (опитування). Засiдання наглядової ради є правомочним, якщо в ньому бере участь не менше нiж половина її складу. Рiшення наглядової ради приймається простою бiльшiстю голосiв членiв наглядової ради, якi беруть участь у засiданнi та мають право голосу. У разi рiвного розподiлу голосiв членiв наглядової ради пiд час прийняття рiшень голос голови наглядової ради є вирiшальним. На засiданнi наглядової ради кожний член наглядової ради має один голос. Протокол засiдання наглядової ради оформляється не пiзнiше нiж протягом п'яти днiв пiсля проведення засiдання.  Оцiнка складу, структури та дiяльностi як колегiального органу, компетентностi та ефективностi кожного члена ради.  Рiчними черговими загальними зборами акцiонерiв Товариства, що вiдбулись 28.04.2020 року, взято до вiдома звiт Наглядової ради Товариства про роботу у 2019 роцi та визнано роботу Наглядової ради Товариства у 2019 роцi задовiльною та такою, що вiдповiдає iнтересам Товариства. За наслiдками розгляду звiту Наглядової ради Товариства заходи не приймались. Iншими органами Товариства не розглядались та не приймались рiшення по питанням оцiнки складу, структури Наглядової ради та її дiяльностi як колегiального органу, компетентностi та ефективностi та незалежностi кожного члена ради, виконання наглядовою радою поставлених цiлей.  Комiтети Наглядової ради не утворювались, i вiдповiдно, не надається iнформацiя щодо компетентностi та ефективностi кожного з комiтетiв ради, iнформацiя про перелiк та персональний склад комiтетiв, їхнi функцiональнi повноваження, кiлькiсть проведених засiдань та опис основних питань, якими займалися комiтети, iнформацiю комiтету Наглядової ради з питань аудиту щодо незалежностi проведеного зовнiшнього аудиту товариства, зокрема незалежностi аудитора (аудиторської фiрми).    Iнформацiя про виконавчий орган Товариства.  Структура, склад та дiяльнiсть виконавчого органу.   Виконавчим органом Товариства є Правлiння. Виконавчий орган акцiонерного Товариства здiйснює управлiння поточною дiяльнiстю Товариства.  Персональний склад Правлiння: Шалiмов Володимир Iллiч</w:t>
      </w:r>
      <w:r>
        <w:rPr>
          <w:rFonts w:ascii="Times New Roman CYR" w:hAnsi="Times New Roman CYR" w:cs="Times New Roman CYR"/>
        </w:rPr>
        <w:tab/>
        <w:t>Голова Правлiння Бiлошапка Анатолiй Миколайович</w:t>
      </w:r>
      <w:r>
        <w:rPr>
          <w:rFonts w:ascii="Times New Roman CYR" w:hAnsi="Times New Roman CYR" w:cs="Times New Roman CYR"/>
        </w:rPr>
        <w:tab/>
        <w:t>Член Правлiння Шалiмов Iгор Володимирович</w:t>
      </w:r>
      <w:r>
        <w:rPr>
          <w:rFonts w:ascii="Times New Roman CYR" w:hAnsi="Times New Roman CYR" w:cs="Times New Roman CYR"/>
        </w:rPr>
        <w:tab/>
        <w:t xml:space="preserve">Член Правлiння  Правлiння пiдзвiтне загальним зборам i наглядовiй радi Товариства, органiзовує виконання їх рiшень. Правлiння дiє вiд iменi Товариства у межах, встановлених Статутом i законом. Засiдання правлiння скликаються головою правлiння не менш нiж один раз на мiсяць. Кожний член правлiння має право вимагати проведення засiдання правлiння та вносити питання до порядку денного засiдання. На засiданнi правлiння ведеться протокол. Протокол засiдання правлiння пiдписується головуючим та надається для ознайомлення на вимогу члена правлiння або представника профспiлкового або iншого уповноваженого трудовим колективом органу, який пiдписав колективний договiр вiд iменi трудового колективу органу. Голова правлiння органiзовує роботу правлiння, скликає засiдання, забезпечує ведення протоколiв засiдань. Рiшення на засiданнях правлiння приймаються простою бiльшiстю голосiв учасникiв засiдання, у випадку рiвного розподiлення голосiв, голос голови правлiння є вирiшальним. Голова правлiння має право без довiреностi дiяти вiд iменi Товариства, вiдповiдно до рiшень правлiння, в тому числi представляти iнтереси Товариства, вчиняти правочини вiд iменi Товариства, видавати накази та давати розпорядження, обов'язковi для виконання всiма працiвниками Товариства. У разi неможливостi виконання головою правлiння своїх повноважень за рiшенням правлiння його повноваження здiйснює один iз членiв правлiння. Iншi особи можуть дiяти вiд iменi Товариства у порядку представництва, передбаченому Цивiльним кодексом України.  Оцiнка дiяльностi виконавчого органу Товариства.  Фiнансовi показники  дозволяють оцiнити роботу Голови правлiння у 2019 роцi як задовiльну. Рiчними черговими загальними зборами акцiонерiв Товариства, що вiдбулись 28.04.2020 р, було взято до вiдома звiт Правлiння Товариства про роботу у 2019 роцi та визнано роботу Правлiння Товариства у 2019 роцi задовiльною та такою, що вiдповiдає iнтересам Товариства. Органами Товариства не розглядались та не приймались рiшення по питанням оцiнки складу та компетенцiї Правлiння. </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 xml:space="preserve">5) опис основних характеристик систем внутрішнього контролю і управління ризиками емітента </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Органом контролю Товариства є Ревiзiйна комiсiя. Для проведення перевiрки фiнансово-господарської дiяльностi Товариства загальнi збори обирають ревiзiйну комiсiю (ревiзора). Ревiзiйна комiсiя (ревiзор) може обиратися для проведення спецiальної перевiрки фiнансово-господарської дiяльностi Товариства або на визначений перiод. Строк повноважень членiв ревiзiйної комiсiї (ревiзора) встановлюється на перiод до дати проведення чергових рiчних загальних зборiв, якщо рiшенням загальних зборiв Товариства не передбачено iнший строк повноважень, але не бiльше нiж на п'ять рокiв. Не можуть бути членами ревiзiйної комiсiї (ревiзором): -</w:t>
      </w:r>
      <w:r>
        <w:rPr>
          <w:rFonts w:ascii="Times New Roman CYR" w:hAnsi="Times New Roman CYR" w:cs="Times New Roman CYR"/>
        </w:rPr>
        <w:tab/>
        <w:t>член наглядової ради; -</w:t>
      </w:r>
      <w:r>
        <w:rPr>
          <w:rFonts w:ascii="Times New Roman CYR" w:hAnsi="Times New Roman CYR" w:cs="Times New Roman CYR"/>
        </w:rPr>
        <w:tab/>
        <w:t>особа, яка не має повної цивiльної дiєздатностi; -</w:t>
      </w:r>
      <w:r>
        <w:rPr>
          <w:rFonts w:ascii="Times New Roman CYR" w:hAnsi="Times New Roman CYR" w:cs="Times New Roman CYR"/>
        </w:rPr>
        <w:tab/>
        <w:t>члени iнших органiв Товариства. Члени ревiзiйної комiсiї (ревiзор) не можуть входити до складу лiчильної комiсiї Товариства. Ревiзiйна комiсiя (ревiзор) має право вносити пропозицiї до порядку денного загальних зборiв та вимагати скликання позачергових загальних зборiв. Члени ревiзiйної комiсiї (ревiзор) мають право бути присутнiми на загальних зборах та брати участь в обговореннi питань порядку денного з правом дорадчого голосу. Члени ревiзiйної комiсiї (ревiзор) мають право брати участь у засiданнях наглядової ради. Ревiзiйна комiсiя (ревiзор) проводить перевiрку фiнансово-господарської дiяльностi Товариства за результатами фiнансового року, якщо iнше не передбачено рiшенням загальних зборiв. За пiдсумками перевiрки фiнансово-господарської дiяльностi Товариства за результатами фiнансового року ревiзiйна комiсiя (ревiзор) готує висновок, в якому мiститься iнформацiя про: -</w:t>
      </w:r>
      <w:r>
        <w:rPr>
          <w:rFonts w:ascii="Times New Roman CYR" w:hAnsi="Times New Roman CYR" w:cs="Times New Roman CYR"/>
        </w:rPr>
        <w:tab/>
        <w:t>пiдтвердження достовiрностi та повноти даних фiнансової звiтностi за вiдповiдний перiод; -</w:t>
      </w:r>
      <w:r>
        <w:rPr>
          <w:rFonts w:ascii="Times New Roman CYR" w:hAnsi="Times New Roman CYR" w:cs="Times New Roman CYR"/>
        </w:rPr>
        <w:tab/>
        <w:t>факти порушення законодавства пiд час провадження фiнансово-господарської дiяльностi, а також встановленого порядку ведення бухгалтерського облiку та подання звiтностi.  Оцiнка дiяльностi Ревiзiйної комiсiї Товариства. В звiтному перiодi Ревiзiйна комiсiя мала наступний склад:  Корницька Вiра Леонiдiвна</w:t>
      </w:r>
      <w:r>
        <w:rPr>
          <w:rFonts w:ascii="Times New Roman CYR" w:hAnsi="Times New Roman CYR" w:cs="Times New Roman CYR"/>
        </w:rPr>
        <w:tab/>
        <w:t>Голова Ревiзiйної комiсiї Танасiйчук Микола Леонтiйович</w:t>
      </w:r>
      <w:r>
        <w:rPr>
          <w:rFonts w:ascii="Times New Roman CYR" w:hAnsi="Times New Roman CYR" w:cs="Times New Roman CYR"/>
        </w:rPr>
        <w:tab/>
        <w:t>Член ревiзiйної комiсiї Луценко Наталiя Вiкторiвна</w:t>
      </w:r>
      <w:r>
        <w:rPr>
          <w:rFonts w:ascii="Times New Roman CYR" w:hAnsi="Times New Roman CYR" w:cs="Times New Roman CYR"/>
        </w:rPr>
        <w:tab/>
        <w:t xml:space="preserve">Член ревiзiйної комiсiї  У звiтному перiодi Ревiзiйна комiсiя Товариства здiйснила перевiрку фiнансово-господарської дiяльностi Товариства за 2019 рiк та доповiла про свої висновки на Рiчних чергових загальних зборах акцiонерiв Товариства, що вiдбулись 28.04.2020року.  Збори затвердили звiт i висновки Ревiзiйної комiсiї Товариства за 2019 рiк.  Зовнiшнiй аудитор. Рiчна фiнансова звiтнiсть Товариства пiдлягає перевiрцi незалежним аудитором. Висновок аудитора крiм даних, передбачених законодавством про аудиторську дiяльнiсть, повинен мiстити iнформацiю щодо пiдтвердження достовiрностi та повноти даних фiнансової звiтностi за вiдповiдний перiод; факти порушення законодавства пiд час провадження фiнансово-господарської дiяльностi та встановленого порядку ведення бухгалтерського облiку та подання звiтностi, а також оцiнку повноти та достовiрностi вiдображення фiнансово-господарського стану Товариства у його бухгалтерськiй звiтностi. У звiтному перiодi була проведена аудиторська перевiрка незалежною аудиторською компанiєю -Приватне пiдприємство "IНФОРМАУДИТ", в формi Приватне пiдприємство (Свiдоцтво про внесення в реєстр суб'єктiв аудиторської дiяльностi № 4712  вiд 28.09.2017 р).  Аудиторською компанiєю була висловлена думка, що за винятком впливу питання, про яке йдеться у параграфi "Основа для думки  iз застереженням", фiнансова звiтнiсть вiдображає достовiрно, в усiх суттєвих аспектах, вiдповiдно до застосованої концептуальної основи фiнансової звiтностi в рамках звiтування згiдно з концептуальною основою достовiрного подання, iнформацiю про фiнансовий стан Приватного акцiонерного товариства "Агробудмеханiзацiя"   станом на 31 грудня 2019 року, а також його фiнансовi результати i грошовi потоки за рiк, що закiнчився, вiдповiдно до Закону України "Про бухгалтерський облiк та фiнансову звiтнiсть в Українi", Положень (стандартiв) бухгалтерського облiку, Закону України "Про державне регулювання цiнних паперiв Українi", Закону України "Про цiннi папери та фондовий ринок". Аудитор, отримавши прийнятнi аудиторськi докази в достатньому обсязi, доходить висновку, що взятi окремо або в сукупностi викривлення є суттєвими, проте не всеохоплюючими щодо фiнансової звiтностi. Аудитором виконанi аудиторськi процедури щодо перевiрки звiту керiвництва, який є складовою частиною Рiчної iнформацiї емiтента цiнних паперiв Товариства за 2019 рiк. За результатами виконаних процедур перевiрки стану корпоративного управлiння (у тому числi внутрiшнього аудиту) можна зробити висновок: 1) прийнята та функцiонуюча система корпоративного управлiння у Товариствi вiдповiдає вимогам Статуту та вимогам Закону України "Про акцiонернi товариства", 2) наведена у рiчному звiтi "Iнформацiя про стан корпоративного управлiння" повно та достовiрно розкриває фактичний стан про склад органiв корпоративного управлiння Товариства та результати їх функцiонування.     Спецiальна перевiрка фiнансово-господарської дiяльностi Товариства. Спецiальна перевiрка фiнансово-господарської дiяльностi Товариства може проводитися за його рахунок Ревiзором, а в разi її вiдсутностi - аудитором. Така перевiрка проводиться з iнiцiативи Ревiзора, за рiшенням загальних зборiв, наглядової ради, правлiння або на вимогу акцiонерiв (акцiонера), якi (який) на момент подання вимоги сукупно є власниками (власником) бiльше 10 вiдсоткiв простих акцiй товариства. Спецiальна перевiрка фiнансово-господарської дiяльностi Товариства може проводитися аудитором на вимогу та за рахунок акцiонерiв (акцiонера), якi (який) на момент подання вимоги сукупно є власниками (власником) бiльше 10 вiдсоткiв простих акцiй Товариства. У звiтному перiодi спецiальна перевiрка не проводилась.  Система управлiння ризиками емiтента. Окрема система управлiння ризиками Товариства не створювалась. </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 xml:space="preserve">Чи створено у вашому акціонерному товаристві ревізійну комісію або введено посаду ревізора? (так, створено ревізійну комісію / так, введено посаду ревізора / ні)  </w:t>
      </w:r>
      <w:r>
        <w:rPr>
          <w:rFonts w:ascii="Times New Roman CYR" w:hAnsi="Times New Roman CYR" w:cs="Times New Roman CYR"/>
          <w:u w:val="single"/>
        </w:rPr>
        <w:t>так, створено ревізійну комісію</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 xml:space="preserve">Якщо в товаристві створено ревізійну комісію: </w:t>
      </w: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Кількість членів ревізійної комісії </w:t>
      </w:r>
      <w:r>
        <w:rPr>
          <w:rFonts w:ascii="Times New Roman CYR" w:hAnsi="Times New Roman CYR" w:cs="Times New Roman CYR"/>
          <w:u w:val="single"/>
        </w:rPr>
        <w:t>3</w:t>
      </w:r>
      <w:r>
        <w:rPr>
          <w:rFonts w:ascii="Times New Roman CYR" w:hAnsi="Times New Roman CYR" w:cs="Times New Roman CYR"/>
          <w:b/>
          <w:bCs/>
        </w:rPr>
        <w:t xml:space="preserve"> осіб.</w:t>
      </w: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 xml:space="preserve">Скільки разів на рік у середньому відбувалися засідання ревізійної комісії протягом останніх трьох років?  </w:t>
      </w:r>
      <w:r>
        <w:rPr>
          <w:rFonts w:ascii="Times New Roman CYR" w:hAnsi="Times New Roman CYR" w:cs="Times New Roman CYR"/>
          <w:u w:val="single"/>
        </w:rPr>
        <w:t>1</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4884"/>
        <w:gridCol w:w="1057"/>
        <w:gridCol w:w="1232"/>
        <w:gridCol w:w="1155"/>
        <w:gridCol w:w="1672"/>
      </w:tblGrid>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Загальні збори акціонерів</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Наглядова рада</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Виконавчий орган</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Не належить до компетенції жодного органу</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Визначення основних напрямів діяльності (стратегії)</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Затвердження планів діяльності (бізнес-планів)</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Затвердження річного фінансового звіту, або балансу, або бюджету</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Обрання та припинення повноважень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Обрання та припинення повноважень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Обрання та припинення повноважень голови та членів ревізійної комісії</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Визначення розміру винагороди для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Визначення розміру винагороди для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Прийняття рішення про притягнення до майнової відповідальності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Прийняття рішення про додаткову емісію акцій</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Прийняття рішення про викуп, реалізацію та розміщення власних акцій</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Затвердження зовнішнього аудитора</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488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Затвердження договорів, щодо яких існує конфлікт інтересів</w:t>
            </w:r>
          </w:p>
        </w:tc>
        <w:tc>
          <w:tcPr>
            <w:tcW w:w="1057"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67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 xml:space="preserve">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  </w:t>
      </w:r>
      <w:r>
        <w:rPr>
          <w:rFonts w:ascii="Times New Roman CYR" w:hAnsi="Times New Roman CYR" w:cs="Times New Roman CYR"/>
          <w:u w:val="single"/>
        </w:rPr>
        <w:t>так</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товариства?(так/ні)  </w:t>
      </w:r>
      <w:r>
        <w:rPr>
          <w:rFonts w:ascii="Times New Roman CYR" w:hAnsi="Times New Roman CYR" w:cs="Times New Roman CYR"/>
          <w:u w:val="single"/>
        </w:rPr>
        <w:t>ні</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Які документи існують у вашому акціонерному товаристві?</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Положення про 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Положення про наглядову раду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Положення про 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Положення про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Положення про ревізійну комісію (або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Положення про порядок розподілу прибутку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3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(запишіть)</w:t>
            </w:r>
          </w:p>
        </w:tc>
        <w:tc>
          <w:tcPr>
            <w:tcW w:w="70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д/н</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Як акціонери можуть отримати інформацію про діяльність вашого акціонерного товариства?</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1500"/>
        <w:gridCol w:w="2000"/>
        <w:gridCol w:w="1500"/>
        <w:gridCol w:w="1000"/>
        <w:gridCol w:w="1500"/>
      </w:tblGrid>
      <w:tr w:rsidR="00305EED">
        <w:trPr>
          <w:trHeight w:val="182"/>
        </w:trPr>
        <w:tc>
          <w:tcPr>
            <w:tcW w:w="25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Інформація про діяльність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Інформація розповсюджується на загальних зборах</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Документи надаються для ознайомлення безпосередньо в акціонерному товаристві</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Копії документів надаються на запит акціонера</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Інформація розміщується на власному веб-сайті акціонерного товариства</w:t>
            </w:r>
          </w:p>
        </w:tc>
      </w:tr>
      <w:tr w:rsidR="00305EED">
        <w:trPr>
          <w:trHeight w:val="182"/>
        </w:trPr>
        <w:tc>
          <w:tcPr>
            <w:tcW w:w="25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Фінансова звітність, результати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r>
      <w:tr w:rsidR="00305EED">
        <w:trPr>
          <w:trHeight w:val="182"/>
        </w:trPr>
        <w:tc>
          <w:tcPr>
            <w:tcW w:w="25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Інформація про акціонерів, які володіють 5 та більше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r>
      <w:tr w:rsidR="00305EED">
        <w:trPr>
          <w:trHeight w:val="182"/>
        </w:trPr>
        <w:tc>
          <w:tcPr>
            <w:tcW w:w="25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Інформація про склад органів управління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r>
      <w:tr w:rsidR="00305EED">
        <w:trPr>
          <w:trHeight w:val="182"/>
        </w:trPr>
        <w:tc>
          <w:tcPr>
            <w:tcW w:w="25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Протоколи загальних зборів акціонерів після їх проведення</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r>
      <w:tr w:rsidR="00305EED">
        <w:trPr>
          <w:trHeight w:val="182"/>
        </w:trPr>
        <w:tc>
          <w:tcPr>
            <w:tcW w:w="25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Розмір винагороди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 xml:space="preserve">Чи готує акціонерне товариство фінансову звітність у відповідності до міжнародних стандартів фінансової звітності? (так/ні)  </w:t>
      </w:r>
      <w:r>
        <w:rPr>
          <w:rFonts w:ascii="Times New Roman CYR" w:hAnsi="Times New Roman CYR" w:cs="Times New Roman CYR"/>
          <w:u w:val="single"/>
        </w:rPr>
        <w:t>ні</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Не проводились взагалі</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Частіше ніж 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Який орган приймав рішення про затвердження незалежного аудитора (аудиторської фірми)?</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4500"/>
        <w:gridCol w:w="1500"/>
        <w:gridCol w:w="1500"/>
      </w:tblGrid>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25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(зазначити)</w:t>
            </w:r>
          </w:p>
        </w:tc>
        <w:tc>
          <w:tcPr>
            <w:tcW w:w="75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д/н</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З ініціативи якого органу ревізійна комісія (ревізор) проводила (проводив) перевірку востаннє?</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4500"/>
        <w:gridCol w:w="1500"/>
        <w:gridCol w:w="1500"/>
      </w:tblGrid>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rPr>
            </w:pP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Так</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Ні</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власної ініціативи</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 дорученням загальних зборів</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 дорученням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За зверненням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7000" w:type="dxa"/>
            <w:gridSpan w:val="2"/>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На вимогу акціонерів, які в сукупності володіють понад та більше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p>
        </w:tc>
        <w:tc>
          <w:tcPr>
            <w:tcW w:w="15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305EED">
        <w:trPr>
          <w:trHeight w:val="200"/>
        </w:trPr>
        <w:tc>
          <w:tcPr>
            <w:tcW w:w="250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Інше (зазначити)</w:t>
            </w:r>
          </w:p>
        </w:tc>
        <w:tc>
          <w:tcPr>
            <w:tcW w:w="750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д/н</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6) перелік осіб, які прямо або опосередковано є власниками значного пакета акцій емітента</w:t>
      </w:r>
    </w:p>
    <w:p w:rsidR="00305EED" w:rsidRDefault="00305EED">
      <w:pPr>
        <w:widowControl w:val="0"/>
        <w:autoSpaceDE w:val="0"/>
        <w:autoSpaceDN w:val="0"/>
        <w:adjustRightInd w:val="0"/>
        <w:rPr>
          <w:rFonts w:ascii="Times New Roman CYR" w:hAnsi="Times New Roman CYR" w:cs="Times New Roman CYR"/>
          <w:b/>
          <w:bCs/>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892"/>
        <w:gridCol w:w="4000"/>
        <w:gridCol w:w="3000"/>
        <w:gridCol w:w="2000"/>
      </w:tblGrid>
      <w:tr w:rsidR="00305EED">
        <w:trPr>
          <w:trHeight w:val="200"/>
        </w:trPr>
        <w:tc>
          <w:tcPr>
            <w:tcW w:w="892"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 з/п</w:t>
            </w:r>
          </w:p>
        </w:tc>
        <w:tc>
          <w:tcPr>
            <w:tcW w:w="4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Розмір частки акціонера (власника) (у відсотках до статутного капіталу)</w:t>
            </w:r>
          </w:p>
        </w:tc>
      </w:tr>
      <w:tr w:rsidR="00305EED">
        <w:trPr>
          <w:trHeight w:val="200"/>
        </w:trPr>
        <w:tc>
          <w:tcPr>
            <w:tcW w:w="892"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Шалiмов Iгор Володимирович</w:t>
            </w:r>
          </w:p>
        </w:tc>
        <w:tc>
          <w:tcPr>
            <w:tcW w:w="3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w:t>
            </w:r>
          </w:p>
        </w:tc>
        <w:tc>
          <w:tcPr>
            <w:tcW w:w="2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11,9666</w:t>
            </w:r>
          </w:p>
        </w:tc>
      </w:tr>
      <w:tr w:rsidR="00305EED">
        <w:trPr>
          <w:trHeight w:val="200"/>
        </w:trPr>
        <w:tc>
          <w:tcPr>
            <w:tcW w:w="892"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Шалiмов Володимир Iллiч</w:t>
            </w:r>
          </w:p>
        </w:tc>
        <w:tc>
          <w:tcPr>
            <w:tcW w:w="3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w:t>
            </w:r>
          </w:p>
        </w:tc>
        <w:tc>
          <w:tcPr>
            <w:tcW w:w="2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88,0334</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7) інформація про будь-які обмеження прав участі та голосування акціонерів (учасників) на загальних зборах емітента</w:t>
      </w:r>
    </w:p>
    <w:p w:rsidR="00305EED" w:rsidRDefault="00305EED">
      <w:pPr>
        <w:widowControl w:val="0"/>
        <w:autoSpaceDE w:val="0"/>
        <w:autoSpaceDN w:val="0"/>
        <w:adjustRightInd w:val="0"/>
        <w:rPr>
          <w:rFonts w:ascii="Times New Roman CYR" w:hAnsi="Times New Roman CYR" w:cs="Times New Roman CYR"/>
          <w:b/>
          <w:bCs/>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1892"/>
        <w:gridCol w:w="2000"/>
        <w:gridCol w:w="4000"/>
        <w:gridCol w:w="2000"/>
      </w:tblGrid>
      <w:tr w:rsidR="00305EED">
        <w:trPr>
          <w:trHeight w:val="200"/>
        </w:trPr>
        <w:tc>
          <w:tcPr>
            <w:tcW w:w="1892"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Загальна кількість акцій</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Кількість акцій з обмеженнями</w:t>
            </w:r>
          </w:p>
        </w:tc>
        <w:tc>
          <w:tcPr>
            <w:tcW w:w="4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Підстава виникнення обмеження</w:t>
            </w:r>
          </w:p>
        </w:tc>
        <w:tc>
          <w:tcPr>
            <w:tcW w:w="20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Дата виникнення обмеження</w:t>
            </w:r>
          </w:p>
        </w:tc>
      </w:tr>
    </w:tbl>
    <w:p w:rsidR="00305EED" w:rsidRDefault="00305EED">
      <w:pPr>
        <w:widowControl w:val="0"/>
        <w:autoSpaceDE w:val="0"/>
        <w:autoSpaceDN w:val="0"/>
        <w:adjustRightInd w:val="0"/>
        <w:rPr>
          <w:rFonts w:ascii="Times New Roman CYR" w:hAnsi="Times New Roman CYR" w:cs="Times New Roman CYR"/>
          <w:b/>
          <w:bCs/>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8) порядок призначення та звільнення посадових осіб емітента</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Наглядова рада Товариства. Наглядова рада обирається у кiлькостi 3 осiб. Строк повноважень наглядової ради встановлюється загальними зборами Товариства. До складу наглядової ради обираються акцiонери або особи, якi представляють їхнi iнтереси (представники акцiонерiв), та/або незалежнi директори.  Обрання членiв наглядової ради Товариства здiйснюється за принципом пропорцiйностi представництва у її складi представникiв акцiонерiв вiдповiдно до кiлькостi належних акцiонерам голосуючих акцiй. Член наглядової ради здiйснює свої повноваження на пiдставi договору з Товариством. Вiд iменi Товариства договiр пiдписує особа, уповноважена на те загальними зборами. У разi укладення з членом наглядової ради Товариства цивiльно-правового договору, такий договiр може бути сплатним або безоплатним. Одна й та сама особа може обиратися до складу наглядової ради неодноразово. Член наглядової ради не може бути одночасно членом виконавчого органу та/або членом ревiзiйної комiсiї (ревiзором) Товариства. Член наглядової ради повинен виконувати свої обов'язки особисто i не може передавати власнi повноваження iншiй особi. Якщо кiлькiсть членiв наглядової ради становить менше половини її кiлькiсного складу, Товариство протягом трьох мiсяцiв має скликати позачерговi загальнi збори для обрання решти членiв наглядової ради. Голова наглядової ради Товариства обирається членами наглядової ради з їх числа простою бiльшiстю голосiв вiд кiлькiсного складу наглядової ради або безпосередньо загальними зборами Товариства. Наглядова рада має право в будь-який час переобрати голову наглядової ради. Загальнi збори акцiонерного товариства можуть прийняти рiшення про дострокове припинення повноважень членiв наглядової ради та одночасне обрання нових членiв. Випадком, коли припиняються повноваження членiв наглядової ради та обираються новi члени є неучасть члена наглядової ради в її бiльш нiж два рази поспiль без поважної причини. Без рiшення загальних зборiв повноваження члена наглядової ради з одночасним припиненням договору припиняються: -</w:t>
      </w:r>
      <w:r>
        <w:rPr>
          <w:rFonts w:ascii="Times New Roman CYR" w:hAnsi="Times New Roman CYR" w:cs="Times New Roman CYR"/>
        </w:rPr>
        <w:tab/>
        <w:t>за його бажанням за умови письмового повiдомлення про це Товариства за два тижнi; -</w:t>
      </w:r>
      <w:r>
        <w:rPr>
          <w:rFonts w:ascii="Times New Roman CYR" w:hAnsi="Times New Roman CYR" w:cs="Times New Roman CYR"/>
        </w:rPr>
        <w:tab/>
        <w:t>в разi неможливостi виконання обов'язкiв члена наглядової ради за станом здоров'я; -</w:t>
      </w:r>
      <w:r>
        <w:rPr>
          <w:rFonts w:ascii="Times New Roman CYR" w:hAnsi="Times New Roman CYR" w:cs="Times New Roman CYR"/>
        </w:rPr>
        <w:tab/>
        <w:t>в разi набрання законної сили вироком чи рiшенням суду, яким його засуджено до покарання, що виключає можливiсть виконання обов'язкiв члена наглядової ради; -</w:t>
      </w:r>
      <w:r>
        <w:rPr>
          <w:rFonts w:ascii="Times New Roman CYR" w:hAnsi="Times New Roman CYR" w:cs="Times New Roman CYR"/>
        </w:rPr>
        <w:tab/>
        <w:t xml:space="preserve">в разi смертi, визнання його недiєздатним, обмежено дiєздатним, безвiсно вiдсутнiм, померлим.  Виконавчий орган Товариства. Членом правлiння може бути будь-яка фiзична особа, яка має повну дiєздатнiсть i не є членом наглядової ради чи ревiзiйної комiсiї Товариства. Вiд iменi Товариства трудовий договiр з членами правлiння пiдписує акцiонер, уповноважений на те загальними зборами Товариства. Голова та члени правлiння обираються загальними зборами. Кiлькiсний склад правлiння встановлюється рiшенням загальних зборiв. Повноваження голови та членiв правлiння припиняються за рiшенням загальних зборiв. Наглядова рада має право вiдсторонити вiд виконання повноважень голову колегiального виконавчого органу (особу, яка здiйснює повноваження одноосiбного виконавчого органу), дiї або бездiяльнiсть якого порушують права акцiонерiв чи самого Товариства, до вирiшення загальними зборами питання про припинення його повноважень.  До вирiшення загальними зборами питання про припинення повноважень голови колегiального виконавчого органу (особи, яка здiйснює повноваження одноосiбного виконавчого органу) наглядова рада зобов'язана призначити особу, яка тимчасово здiйснюватиме повноваження голови колегiального виконавчого органу (особи, яка здiйснює повноваження одноосiбного виконавчого органу), та скликати позачерговi загальнi збори.  У разi вiдсторонення голови виконавчого органу або особи, яка виконує його повноваження, вiд здiйснення повноважень наглядова рада зобов'язана протягом 10 днiв з дати ухвалення вiдповiдного рiшення оголосити про скликання загальних зборiв Товариства, до порядку денного яких повинно бути включено питання про переобрання голови виконавчого органу Товариства.  Ревiзiйна комiсiя Товариства.  </w:t>
      </w:r>
      <w:r>
        <w:rPr>
          <w:rFonts w:ascii="Times New Roman CYR" w:hAnsi="Times New Roman CYR" w:cs="Times New Roman CYR"/>
        </w:rPr>
        <w:tab/>
        <w:t>Для проведення перевiрки фiнансово-господарської дiяльностi Товариства загальнi збори обирають ревiзiйну комiсiю (ревiзора). Ревiзiйна комiсiя (ревiзор) може обиратися для проведення спецiальної перевiрки фiнансово-господарської дiяльностi Товариства або на визначений перiод. Строк повноважень членiв ревiзiйної комiсiї (ревiзора) встановлюється на перiод до дати проведення чергових рiчних загальних зборiв, якщо рiшенням загальних зборiв Товариства не передбачено iнший строк повноважень, але не бiльше нiж на п'ять рокiв. Не можуть бути членами ревiзiйної комiсiї (ревiзором): -</w:t>
      </w:r>
      <w:r>
        <w:rPr>
          <w:rFonts w:ascii="Times New Roman CYR" w:hAnsi="Times New Roman CYR" w:cs="Times New Roman CYR"/>
        </w:rPr>
        <w:tab/>
        <w:t>член наглядової ради; -</w:t>
      </w:r>
      <w:r>
        <w:rPr>
          <w:rFonts w:ascii="Times New Roman CYR" w:hAnsi="Times New Roman CYR" w:cs="Times New Roman CYR"/>
        </w:rPr>
        <w:tab/>
        <w:t>особа, яка не має повної цивiльної дiєздатностi; -</w:t>
      </w:r>
      <w:r>
        <w:rPr>
          <w:rFonts w:ascii="Times New Roman CYR" w:hAnsi="Times New Roman CYR" w:cs="Times New Roman CYR"/>
        </w:rPr>
        <w:tab/>
        <w:t>члени iнших органiв Товариства.</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9) повноваження посадових осіб емітента</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Повноваження Наглядової ради. Наглядова рада Товариства є органом, що здiйснює захист прав акцiонерiв Товариства, i в межах компетенцiї, визначеної Статутом та законом, контролює та регулює дiяльнiсть виконавчого органу. До виключної компетенцiї наглядової ради належить: -</w:t>
      </w:r>
      <w:r>
        <w:rPr>
          <w:rFonts w:ascii="Times New Roman CYR" w:hAnsi="Times New Roman CYR" w:cs="Times New Roman CYR"/>
        </w:rPr>
        <w:tab/>
        <w:t>затвердження внутрiшнiх положень, якими регулюється дiяльнiсть Товариства, крiм тих, що вiднесенi до виключної компетенцiї загальних зборiв та тих, що рiшенням наглядової ради переданi для затвердження виконавчому органу; -</w:t>
      </w:r>
      <w:r>
        <w:rPr>
          <w:rFonts w:ascii="Times New Roman CYR" w:hAnsi="Times New Roman CYR" w:cs="Times New Roman CYR"/>
        </w:rPr>
        <w:tab/>
        <w:t>затвердження положення про винагороду членiв виконавчого органу Товариства, вимоги до якого встановлюються Нацiональною комiсiєю з цiнних паперiв та фондового ринку; -</w:t>
      </w:r>
      <w:r>
        <w:rPr>
          <w:rFonts w:ascii="Times New Roman CYR" w:hAnsi="Times New Roman CYR" w:cs="Times New Roman CYR"/>
        </w:rPr>
        <w:tab/>
        <w:t>затвердження звiту про винагороду членiв виконавчого органу Товариства, вимоги до якого встановлюються Нацiональною комiсiєю з цiнних паперiв та фондового ринку; -</w:t>
      </w:r>
      <w:r>
        <w:rPr>
          <w:rFonts w:ascii="Times New Roman CYR" w:hAnsi="Times New Roman CYR" w:cs="Times New Roman CYR"/>
        </w:rPr>
        <w:tab/>
        <w:t>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r>
        <w:rPr>
          <w:rFonts w:ascii="Times New Roman CYR" w:hAnsi="Times New Roman CYR" w:cs="Times New Roman CYR"/>
        </w:rPr>
        <w:tab/>
        <w:t>формування тимчасової лiчильної комiсiї до обрання лiчильної комiсiї рiшенням загальних зборiв Товариства; -</w:t>
      </w:r>
      <w:r>
        <w:rPr>
          <w:rFonts w:ascii="Times New Roman CYR" w:hAnsi="Times New Roman CYR" w:cs="Times New Roman CYR"/>
        </w:rPr>
        <w:tab/>
        <w:t>затвердження форми i тексту бюлетеня для голосування; -</w:t>
      </w:r>
      <w:r>
        <w:rPr>
          <w:rFonts w:ascii="Times New Roman CYR" w:hAnsi="Times New Roman CYR" w:cs="Times New Roman CYR"/>
        </w:rPr>
        <w:tab/>
        <w:t>прийняття рiшення про проведення чергових або позачергових загальних зборiв у порядку , передбаченому Статутом; -</w:t>
      </w:r>
      <w:r>
        <w:rPr>
          <w:rFonts w:ascii="Times New Roman CYR" w:hAnsi="Times New Roman CYR" w:cs="Times New Roman CYR"/>
        </w:rPr>
        <w:tab/>
        <w:t>прийняття рiшення про продаж ранiше викуплених Товариством акцiй; -</w:t>
      </w:r>
      <w:r>
        <w:rPr>
          <w:rFonts w:ascii="Times New Roman CYR" w:hAnsi="Times New Roman CYR" w:cs="Times New Roman CYR"/>
        </w:rPr>
        <w:tab/>
        <w:t>прийняття рiшення про розмiщення Товариством iнших цiнних паперiв, крiм акцiй; -</w:t>
      </w:r>
      <w:r>
        <w:rPr>
          <w:rFonts w:ascii="Times New Roman CYR" w:hAnsi="Times New Roman CYR" w:cs="Times New Roman CYR"/>
        </w:rPr>
        <w:tab/>
        <w:t>прийняття рiшення про викуп розмiщених Товариством iнших, крiм акцiй, цiнних паперiв;? -</w:t>
      </w:r>
      <w:r>
        <w:rPr>
          <w:rFonts w:ascii="Times New Roman CYR" w:hAnsi="Times New Roman CYR" w:cs="Times New Roman CYR"/>
        </w:rPr>
        <w:tab/>
        <w:t>затвердження ринкової вартостi майна; -</w:t>
      </w:r>
      <w:r>
        <w:rPr>
          <w:rFonts w:ascii="Times New Roman CYR" w:hAnsi="Times New Roman CYR" w:cs="Times New Roman CYR"/>
        </w:rPr>
        <w:tab/>
        <w:t>обрання та припинення повноважень голови i членiв виконавчого органу; -</w:t>
      </w:r>
      <w:r>
        <w:rPr>
          <w:rFonts w:ascii="Times New Roman CYR" w:hAnsi="Times New Roman CYR" w:cs="Times New Roman CYR"/>
        </w:rPr>
        <w:tab/>
        <w:t>затвердження умов контрактiв, якi укладатимуться з членами виконавчого органу, встановлення розмiру їх винагороди; -</w:t>
      </w:r>
      <w:r>
        <w:rPr>
          <w:rFonts w:ascii="Times New Roman CYR" w:hAnsi="Times New Roman CYR" w:cs="Times New Roman CYR"/>
        </w:rPr>
        <w:tab/>
        <w:t>прийняття рiшення про вiдсторонення голови або члена виконавчого органу вiд здiйснення повноважень та обрання особи, яка тимчасово здiйснюватиме повноваження голови виконавчого органу; -</w:t>
      </w:r>
      <w:r>
        <w:rPr>
          <w:rFonts w:ascii="Times New Roman CYR" w:hAnsi="Times New Roman CYR" w:cs="Times New Roman CYR"/>
        </w:rPr>
        <w:tab/>
        <w:t>обрання та припинення повноважень голови i членiв iнших органiв Товариства; -</w:t>
      </w:r>
      <w:r>
        <w:rPr>
          <w:rFonts w:ascii="Times New Roman CYR" w:hAnsi="Times New Roman CYR" w:cs="Times New Roman CYR"/>
        </w:rPr>
        <w:tab/>
        <w:t>призначення i звiльнення керiвника пiдроздiлу внутрiшнього аудиту (внутрiшнього аудитора); -</w:t>
      </w:r>
      <w:r>
        <w:rPr>
          <w:rFonts w:ascii="Times New Roman CYR" w:hAnsi="Times New Roman CYR" w:cs="Times New Roman CYR"/>
        </w:rPr>
        <w:tab/>
        <w:t>затвердження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 -</w:t>
      </w:r>
      <w:r>
        <w:rPr>
          <w:rFonts w:ascii="Times New Roman CYR" w:hAnsi="Times New Roman CYR" w:cs="Times New Roman CYR"/>
        </w:rPr>
        <w:tab/>
        <w:t>здiйснення контролю за своєчаснiстю надання (опублiкування) товариством достовiрної iнформацiї про його дiяльнiсть вiдповiдно до законодавства, опублiкування Товариством iнформацiї про принципи (кодекс) корпоративного управлiння Товариства; -</w:t>
      </w:r>
      <w:r>
        <w:rPr>
          <w:rFonts w:ascii="Times New Roman CYR" w:hAnsi="Times New Roman CYR" w:cs="Times New Roman CYR"/>
        </w:rPr>
        <w:tab/>
        <w:t>розгляд звiту виконавчого органу та затвердження заходiв за результатами його розгляду; -</w:t>
      </w:r>
      <w:r>
        <w:rPr>
          <w:rFonts w:ascii="Times New Roman CYR" w:hAnsi="Times New Roman CYR" w:cs="Times New Roman CYR"/>
        </w:rPr>
        <w:tab/>
        <w:t>обрання реєстрацiйної комiсiї; -</w:t>
      </w:r>
      <w:r>
        <w:rPr>
          <w:rFonts w:ascii="Times New Roman CYR" w:hAnsi="Times New Roman CYR" w:cs="Times New Roman CYR"/>
        </w:rPr>
        <w:tab/>
        <w:t>обрання аудитора (аудиторської фiрми) Товариства для проведення аудиторської перевiрки за результатами поточного та/або минулого (минулих) року (рокiв); визначення умов договору, що укладатиметься з аудитором (аудиторською фiрмою) Товариства, встановлення розмiру оплати його (її) послуг; -</w:t>
      </w:r>
      <w:r>
        <w:rPr>
          <w:rFonts w:ascii="Times New Roman CYR" w:hAnsi="Times New Roman CYR" w:cs="Times New Roman CYR"/>
        </w:rPr>
        <w:tab/>
        <w:t>затвердження рекомендацiй загальним зборам за результатами розгляду висновку зовнiшнього незалежного аудитора (аудиторської фiрми) товариства для прийняття рiшення щодо нього; -</w:t>
      </w:r>
      <w:r>
        <w:rPr>
          <w:rFonts w:ascii="Times New Roman CYR" w:hAnsi="Times New Roman CYR" w:cs="Times New Roman CYR"/>
        </w:rPr>
        <w:tab/>
        <w:t>визначення дати складення перелiку осiб, якi мають право на отримання дивiдендiв, порядку та строкiв виплати дивiдендiв; -</w:t>
      </w:r>
      <w:r>
        <w:rPr>
          <w:rFonts w:ascii="Times New Roman CYR" w:hAnsi="Times New Roman CYR" w:cs="Times New Roman CYR"/>
        </w:rPr>
        <w:tab/>
        <w:t>визначення дати складення перелiку акцiонерiв, якi мають бути повiдомленi про проведення загальних зборiв та мають право на участь у загальних зборах; -</w:t>
      </w:r>
      <w:r>
        <w:rPr>
          <w:rFonts w:ascii="Times New Roman CYR" w:hAnsi="Times New Roman CYR" w:cs="Times New Roman CYR"/>
        </w:rPr>
        <w:tab/>
        <w:t>вирiшення питань про участь Товариства у промислово-фiнансових групах та iнших об'єднаннях; -</w:t>
      </w:r>
      <w:r>
        <w:rPr>
          <w:rFonts w:ascii="Times New Roman CYR" w:hAnsi="Times New Roman CYR" w:cs="Times New Roman CYR"/>
        </w:rPr>
        <w:tab/>
        <w:t>вирiшення питань про створення та/або участь в будь-яких юридичних особах, їх реорганiзацiю та лiквiдацiю; -</w:t>
      </w:r>
      <w:r>
        <w:rPr>
          <w:rFonts w:ascii="Times New Roman CYR" w:hAnsi="Times New Roman CYR" w:cs="Times New Roman CYR"/>
        </w:rPr>
        <w:tab/>
        <w:t>вирiшення питань про створення, реорганiзацiю та/або лiквiдацiю структурних та/або вiдокремлених пiдроздiлiв Товариства; -</w:t>
      </w:r>
      <w:r>
        <w:rPr>
          <w:rFonts w:ascii="Times New Roman CYR" w:hAnsi="Times New Roman CYR" w:cs="Times New Roman CYR"/>
        </w:rPr>
        <w:tab/>
        <w:t>прийняття рiшення про надання згоди на вчинення значного правочину або про попереднє надання згоди на вчинення такого правочину, якщо ринкова вартiсть майна або послуг, що є його предметом, становить вiд 10 до 25 вiдсоткiв вартостi активiв за даними останньої рiчної фiнансової звiтностi Товариства, та про надання згоди на вчинення правочинiв iз заiнтересованiстю; -</w:t>
      </w:r>
      <w:r>
        <w:rPr>
          <w:rFonts w:ascii="Times New Roman CYR" w:hAnsi="Times New Roman CYR" w:cs="Times New Roman CYR"/>
        </w:rPr>
        <w:tab/>
        <w:t>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w:t>
      </w:r>
      <w:r>
        <w:rPr>
          <w:rFonts w:ascii="Times New Roman CYR" w:hAnsi="Times New Roman CYR" w:cs="Times New Roman CYR"/>
        </w:rPr>
        <w:tab/>
        <w:t>прийняття рiшення про обрання оцiнювача майна Товариства та затвердження умов договору, що укладатиметься з ним, встановлення розмiру оплати його послуг; -</w:t>
      </w:r>
      <w:r>
        <w:rPr>
          <w:rFonts w:ascii="Times New Roman CYR" w:hAnsi="Times New Roman CYR" w:cs="Times New Roman CYR"/>
        </w:rPr>
        <w:tab/>
        <w:t>прийняття рiшення про обрання (замiну) депозитарної установи, яка надає Товариству додатковi послуги, затвердження умов договору, що укладатиметься з нею, встановлення розмiру оплати її послуг; -</w:t>
      </w:r>
      <w:r>
        <w:rPr>
          <w:rFonts w:ascii="Times New Roman CYR" w:hAnsi="Times New Roman CYR" w:cs="Times New Roman CYR"/>
        </w:rPr>
        <w:tab/>
        <w:t>надсилання оферти акцiонерам; -</w:t>
      </w:r>
      <w:r>
        <w:rPr>
          <w:rFonts w:ascii="Times New Roman CYR" w:hAnsi="Times New Roman CYR" w:cs="Times New Roman CYR"/>
        </w:rPr>
        <w:tab/>
        <w:t xml:space="preserve">вирiшення iнших питань, що належать до виключної компетенцiї наглядової ради згiдно iз Статутом Товариства. Питання, що належать до виключної компетенцiї наглядової ради Товариства, не можуть вирiшуватися iншими органами Товариства, крiм загальних зборiв, за винятком випадкiв, встановлених законом.  Повноваження виконавчого органу Товариства. Правлiння Товариства є виконавчим органом Товариства, який здiйснює управлiння поточною дiяльнiстю Товариства. До компетенцiї правлiння належить вирiшення всiх питань, пов'язаних з керiвництвом поточною дiяльнiстю Товариства, крiм питань, що належать до виключної компетенцiї загальних зборiв. Правлiння пiдзвiтне загальним зборам i наглядовiй радi Товариства, органiзовує виконання їх рiшень. Правлiння дiє вiд iменi Товариства у межах, встановлених Статутом i законом. Повноваження голови та членiв правлiння припиняються за рiшенням загальних зборiв.  </w:t>
      </w:r>
      <w:r>
        <w:rPr>
          <w:rFonts w:ascii="Times New Roman CYR" w:hAnsi="Times New Roman CYR" w:cs="Times New Roman CYR"/>
        </w:rPr>
        <w:tab/>
      </w:r>
      <w:r>
        <w:rPr>
          <w:rFonts w:ascii="Times New Roman CYR" w:hAnsi="Times New Roman CYR" w:cs="Times New Roman CYR"/>
        </w:rPr>
        <w:tab/>
        <w:t xml:space="preserve"> Повноваження Ревiзiйної комiсiї Товариства. Для проведення перевiрки фiнансово-господарської дiяльностi Товариства загальнi збори обирають ревiзiйну комiсiю (ревiзора). Ревiзiйна комiсiя (ревiзор) може обиратися для проведення спецiальної перевiрки фiнансово-господарської дiяльностi Товариства або на визначений перiод. Строк повноважень членiв ревiзiйної комiсiї (ревiзора) встановлюється на перiод до дати проведення чергових рiчних загальних зборiв, якщо рiшенням загальних зборiв Товариства не передбачено iнший строк повноважень, але не бiльше нiж на п'ять рокiв. </w:t>
      </w:r>
      <w:r>
        <w:rPr>
          <w:rFonts w:ascii="Times New Roman CYR" w:hAnsi="Times New Roman CYR" w:cs="Times New Roman CYR"/>
        </w:rPr>
        <w:tab/>
        <w:t>Ревiзiйна комiсiя (ревiзор) має право вносити пропозицiї до порядку денного загальних зборiв та вимагати скликання позачергових загальних зборiв. Члени ревiзiйної комiсiї (ревiзор) мають право бути присутнiми на загальних зборах та брати участь в обговореннi питань порядку денного з правом дорадчого голосу. Члени ревiзiйної комiсiї (ревiзор) мають право брати участь у засiданнях наглядової ради. Ревiзiйна комiсiя (ревiзор) проводить перевiрку фiнансово-господарської дiяльностi Товариства за результатами фiнансового року, якщо iнше не передбачено рiшенням загальних зборiв. За пiдсумками перевiрки фiнансово-господарської дiяльностi Товариства за результатами фiнансового року ревiзiйна комiсiя (ревiзор) готує висновок, в якому мiститься iнформацiя про: -</w:t>
      </w:r>
      <w:r>
        <w:rPr>
          <w:rFonts w:ascii="Times New Roman CYR" w:hAnsi="Times New Roman CYR" w:cs="Times New Roman CYR"/>
        </w:rPr>
        <w:tab/>
        <w:t>пiдтвердження достовiрностi та повноти даних фiнансової звiтностi за вiдповiдний перiод; -</w:t>
      </w:r>
      <w:r>
        <w:rPr>
          <w:rFonts w:ascii="Times New Roman CYR" w:hAnsi="Times New Roman CYR" w:cs="Times New Roman CYR"/>
        </w:rPr>
        <w:tab/>
        <w:t>факти порушення законодавства пiд час провадження фiнансово-господарської дiяльностi, а також встановленого порядку ведення бухгалтерського облiку та подання звiтностi.</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10) Висловлення думки аудитора (аудиторської фірми) щодо інформації, зазначеної у підпунктах 5-9 цього пункту, а також перевірки інформації, зазначеної в підпунктах 1-4 цього пункту</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Приватне пiдприємство "IНФОРМАУДИТ" включено до Реєстру аудиторiв та суб'єктiв аудиторської дiяльностi 31.10.2018 року за № 4712,                           03057 м. Київ, вул. Смоленська, 6, кiмната 101 ЄДРПОУ 31058616  III. ЗВIТ  ЩОДО ЗВIТУ ПРО КОРПОРАТИВНЕ УПРАВЛIННЯ             3.1. Iдентифiкацiя та опис iнформацiї про предмет перевiрки    Ми здiйснили виконання завдання з надання обгрунтованої впевненостi, що не є аудитом чи оглядом iсторичної фiнансової iнформацiї, щодо Звiту про корпоративне управлiння Приватного акцiонерного товариства "АГРОБУДМЕХАНIЗАЦIЯ" за 2020 рiк у вiдповiдностi до Мiжнародного стандарту завдань з надання впевненостi 3000 "Завдання з надання впевненостi, що не є аудитом чи оглядом iсторичної фiнансової iнформацiї", а також вимог чинного законодавства України.  Цей звiт мiстить результати виконання завдання з надання обгрунтованої впевненостi щодо iнформацiї, розкритої вiдповiдно до вимог пунктiв 5-9 частини 3 статтi 40-1 Закону України "Про цiннi папери та фондовий ринок" у Звiтi про корпоративне управлiння Приватного акцiонерного товариства "АГРОБУДМЕХАНIЗАЦIЯ" за 2020 рiк та перевiрку iнформацiї, поданої у Звiтi про корпоративне управлiння товариства, розкриття якої вимагається пп. 1-4 частини 3 ст. 40-1 Закону України "Про цiннi папери та фондовий ринок". Звiт про корпоративне управлiння повинен мiстити: 1) посилання на: а) власний кодекс корпоративного управлiння, яким керується емiтент; б) кодекс корпоративного управлiння фондової бiржi, об'єднання юридичних осiб або iнший кодекс корпоративного управлiння, який емiтент добровiльно вирiшив застосовувати; в) всю вiдповiдну iнформацiю про практику корпоративного управлiння, застосовувану понад визначенi законодавством вимоги. Якщо робиться посилання на кодекс корпоративного управлiння, зазначений у пiдпунктах "а" або "б", емiтент також надає посилання, де вiдповiднi тексти перебувають у публiчному доступi. Якщо робиться посилання на iнформацiю, зазначену в пiдпунктi "в", емiтент надає iнформацiю про практику корпоративного управлiння; 2) якщо емiтент вiдхиляється вiд положень кодексу корпоративного управлiння, зазначеного в пiдпунктах "а" або "б" пункту 1 цiєї частини, - пояснення iз сторони емiтента, вiд яких частин кодексу корпоративного управлiння такий емiтент вiдхиляється i причини таких вiдхилень. Якщо емiтент прийняв рiшення не застосовувати деякi положення кодексу корпоративного управлiння, зазначеного в пiдпунктах "а" або "б" пункту 1 цiєї частини, вiн обгрунтовує причини таких дiй; 3) iнформацiю про проведенi загальнi збори акцiонерiв (учасникiв) та загальний опис прийнятих на зборах рiшень; 4) персональний склад наглядової ради та колегiального виконавчого органу (за наявностi) емiтента, їхнiх комiтетiв (за наявностi), iнформацiю про проведенi засiдання та загальний опис прийнятих на них рiшень; 5) опис основних характеристик систем внутрiшнього контролю i управлiння ризиками емiтента; 6) перелiк осiб, якi прямо або опосередковано є власниками значного пакета акцiй емiтента; 7) iнформацiю про будь-якi обмеження прав участi та голосування акцiонерiв (учасникiв) на загальних зборах емiтента; 8) порядок призначення та звiльнення посадових осiб емiтента; 9) повноваження посадових осiб емiтента.          Нами перевiренi наступнi документи, якi наданi товариством за 2020 р.:           1. Статут.           2. Протоколи Наглядової ради.           3. Протокол загальних зборiв, якi вiдбулися у звiтному перiодi.           4. Внутрiшнi положення, що стосуються корпоративного управлiння.           5. Документи, що пiдтверджують обрання посадових осiб товариства.           6. Данi щодо реєстру акцiонерiв товариства.           7. Iншi  документи, що стосуються предмету перевiрки.              3.2. Визначення критерiїв  Критерiї, за якими перевiряється данi Звiту про корпоративне управлiння, мiстяться у  п. 63 Мiжнародного стандарту завдання з надання впевненостi 3000, Закону України "Про цiннi папери та фондовий ринок" вiд 23.02.2006 № 3480-IV та полягають у пiдтвердженнi достовiрностi iнформацiї у Звiтi про корпоративне управлiння, а саме чи складений вiн на пiдставi даних Статуту, Протоколiв, Положень та iнших документiв з корпоративного управлiння товариства.          Звiт про корпоративне управлiння складається у складi рiчного Звiту керiвництва для цiлей подання регулярної (рiчної) iнформацiї про емiтента, яка розкривається шляхом подання до Нацiональної комiсiї з цiнних паперiв та фондового ринку вiдповiдно до вимог статтi 40- 1Закону України " Про цiннi папери та фондовий ринок".            3.3. Вiдповiдальнiсть управлiнського персоналу за складання та достовiрне подання Звiту про корпоративне управлiння   Управлiнський персонал Приватного акцiонерного товариства "АГРОБУДМЕХАНIЗАЦIЯ" несе вiдповiдальнiсть за складання Звiту про корпоративне управлiння вiдповiдно до чинного законодавства України та Закону України "Про цiннi папери та фондовий ринок" вiд 23.02.2006 № 3480-IV, а також за такий внутрiшнiй контроль, який вiн вважає необхiдним для складання Звiту про корпоративне управлiння, що не мiстить суттєвих викривлень та помилок.               3.4. Вiдповiдальнiсть аудитора за завдання з надання впевненостi            Нашою вiдповiдальнiстю є надання обгрунтованої впевненостi щодо iнформацiї, зазначеної у Звiтi про корпоративне управлiння, на основi результатiв виконання процедур з надання впевненостi. Ми провели нашу перевiрку у вiдповiдностi з вимогами Мiжнародного стандарту завдання з надання впевненостi 3000 "Завдання з надання впевненостi, що не є аудитом чи оглядом iсторичної фiнансової iнформацiї".          Завдання передбачало виконання процедур для отримання розумних пiдтверджень щодо вiдсутностi у наданiй товариством iнформацiї суттєвих невiдповiдностей критерiям перевiрки; аудиторських доказiв щодо того, чи складений Звiт з корпоративного управлiння мiстить iнформацiю, що не суперечить даним Статуту, Протоколiв, Положень та iнших документiв з корпоративного управлiння, а також  дотримання нормативних вимог щодо дiяльностi акцiонерного товариства.          Вибiр процедур залежав вiд судження аудитора, якi передбачали: отримання розумiння предмету перевiрки та iнших обставин завдання, у тому числi внутрiшнього контролю; оцiнку ризикiв можливого суттєвого викривлення iнформацiї про предмет перевiрки; дiї у вiдповiдь на оцiненi ризики, в тому числi розробку вiдповiдних аудиторських процедур, якi передбачали перевiрку, пiдтвердження, запити; оцiнку достатностi та вiдповiдностi отриманих доказiв.         Оскiльки метою  перелiчених  вище процедур є надання впевненостi щодо Звiту з корпоративного управлiння, даний звiт з надання впевненостi обмежується тiльки думкою щодо Звiту з корпоративного управлiння  та не стосується висловлення впевненостi стосовно фiнансової звiтностi в цiлому.         Ми вважаємо, що отримали достатнi та вiдповiднi аудиторськi докази для висловлювання думки.                       3.5. Огляд виконаної роботи                Здiйсненi процедури отримання аудиторських доказiв, зокрема, але не виключно, були направленi на:           - отримання розумiння товариства як середовища функцiонування системи корпоративного управлiння;           - дослiдження прийнятих внутрiшнiх документiв, якi регламентують функцiонування органiв корпоративного управлiння;           - дослiдження змiсту функцiй та повноважень загальних зборiв;           - дослiдження форми функцiонування органу перевiрки фiнансово-господарської дiяльностi товариства: наявнiсть окремої посади ревiзора або ревiзiйної комiсiї;           - дослiдження повноважень та форми функцiонування виконавчого органу:           - наявнiсть колегiального або одноосiбного виконавчого органу Товариства.          В ходi виконання завдання аудитор отримав докази щодо iнформацiї, зазначеної у Звiтi про корпоративне управлiння Приватного акцiонерного товариства "АГРОБУДМЕХАНIЗАЦIЯ" в складi Звiту керiвництва за 2020 рiк. .                         3.6. Думка щодо Звiту про корпоративне управлiння            На нашу думку, iнформацiя Звiту про корпоративне управлiння Приватного акцiонерного товариства "АГРОБУДМЕХАНIЗАЦIЯ" за 2020 рiк, що додається, складена в усiх суттєвих аспектах, вiдповiдно до вимог статтi 40-1 Закону України "Про цiннi папери та фондовий ринок" вiд 23.02.2006 № 3480-IV та не суперечить законодавству України.</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b/>
          <w:bCs/>
        </w:rPr>
        <w:t>11) Інформація, передбачена Законом України "Про фінансові послуги та державне регулювання ринку фінансових послуг" (для фінансових установ)</w:t>
      </w: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jc w:val="both"/>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sectPr w:rsidR="00305EED">
          <w:pgSz w:w="12240" w:h="15840"/>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VIII. Інформація про осіб, що володіють 5 і більше відсотками акцій емітента</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300"/>
        <w:gridCol w:w="1400"/>
        <w:gridCol w:w="2300"/>
        <w:gridCol w:w="2000"/>
        <w:gridCol w:w="2000"/>
        <w:gridCol w:w="2000"/>
        <w:gridCol w:w="2121"/>
      </w:tblGrid>
      <w:tr w:rsidR="00305EED">
        <w:trPr>
          <w:trHeight w:val="200"/>
        </w:trPr>
        <w:tc>
          <w:tcPr>
            <w:tcW w:w="3300"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Найменування юридичної особи</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Ідентифікаційний код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Місцезнаходження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Кількість за видами акцій</w:t>
            </w:r>
          </w:p>
        </w:tc>
      </w:tr>
      <w:tr w:rsidR="00305EED">
        <w:trPr>
          <w:trHeight w:val="200"/>
        </w:trPr>
        <w:tc>
          <w:tcPr>
            <w:tcW w:w="3300"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14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Прості іменні</w:t>
            </w:r>
          </w:p>
        </w:tc>
        <w:tc>
          <w:tcPr>
            <w:tcW w:w="2121"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b/>
                <w:bCs/>
                <w:sz w:val="22"/>
                <w:szCs w:val="22"/>
              </w:rPr>
              <w:t>Привілейовані іменні</w:t>
            </w:r>
          </w:p>
        </w:tc>
      </w:tr>
      <w:tr w:rsidR="00305EED">
        <w:trPr>
          <w:trHeight w:val="200"/>
        </w:trPr>
        <w:tc>
          <w:tcPr>
            <w:tcW w:w="33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p>
        </w:tc>
        <w:tc>
          <w:tcPr>
            <w:tcW w:w="2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212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p>
        </w:tc>
      </w:tr>
      <w:tr w:rsidR="00305EED">
        <w:trPr>
          <w:trHeight w:val="200"/>
        </w:trPr>
        <w:tc>
          <w:tcPr>
            <w:tcW w:w="7000" w:type="dxa"/>
            <w:gridSpan w:val="3"/>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Прізвище, ім'я, по батькові (за наявності) фізичної особи</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Кількість за типами акцій</w:t>
            </w:r>
          </w:p>
        </w:tc>
      </w:tr>
      <w:tr w:rsidR="00305EED">
        <w:trPr>
          <w:trHeight w:val="200"/>
        </w:trPr>
        <w:tc>
          <w:tcPr>
            <w:tcW w:w="7000" w:type="dxa"/>
            <w:gridSpan w:val="3"/>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Прості іменні</w:t>
            </w:r>
          </w:p>
        </w:tc>
        <w:tc>
          <w:tcPr>
            <w:tcW w:w="2121"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b/>
                <w:bCs/>
                <w:sz w:val="22"/>
                <w:szCs w:val="22"/>
              </w:rPr>
              <w:t>Привілейовані іменні</w:t>
            </w:r>
          </w:p>
        </w:tc>
      </w:tr>
      <w:tr w:rsidR="00305EED">
        <w:trPr>
          <w:trHeight w:val="200"/>
        </w:trPr>
        <w:tc>
          <w:tcPr>
            <w:tcW w:w="7000" w:type="dxa"/>
            <w:gridSpan w:val="3"/>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Шалiмов Iгор Володимирович</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258</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11,9666</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258</w:t>
            </w:r>
          </w:p>
        </w:tc>
        <w:tc>
          <w:tcPr>
            <w:tcW w:w="212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7000" w:type="dxa"/>
            <w:gridSpan w:val="3"/>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Шалiмов Володимир Iллiч</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1 898</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88,0334</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1 898</w:t>
            </w:r>
          </w:p>
        </w:tc>
        <w:tc>
          <w:tcPr>
            <w:tcW w:w="212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7000" w:type="dxa"/>
            <w:gridSpan w:val="3"/>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Усього</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2 156</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2 156</w:t>
            </w:r>
          </w:p>
        </w:tc>
        <w:tc>
          <w:tcPr>
            <w:tcW w:w="212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bl>
    <w:p w:rsidR="00305EED" w:rsidRDefault="00305EED">
      <w:pPr>
        <w:widowControl w:val="0"/>
        <w:autoSpaceDE w:val="0"/>
        <w:autoSpaceDN w:val="0"/>
        <w:adjustRightInd w:val="0"/>
        <w:rPr>
          <w:rFonts w:ascii="Times New Roman CYR" w:hAnsi="Times New Roman CYR" w:cs="Times New Roman CYR"/>
          <w:sz w:val="22"/>
          <w:szCs w:val="22"/>
        </w:rPr>
        <w:sectPr w:rsidR="00305EED">
          <w:pgSz w:w="16838" w:h="11906" w:orient="landscape"/>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X. Структура капіталу</w:t>
      </w:r>
    </w:p>
    <w:p w:rsidR="00305EED" w:rsidRDefault="00305EED">
      <w:pPr>
        <w:widowControl w:val="0"/>
        <w:autoSpaceDE w:val="0"/>
        <w:autoSpaceDN w:val="0"/>
        <w:adjustRightInd w:val="0"/>
        <w:jc w:val="center"/>
        <w:rPr>
          <w:rFonts w:ascii="Times New Roman CYR" w:hAnsi="Times New Roman CYR" w:cs="Times New Roman CYR"/>
          <w:b/>
          <w:bCs/>
          <w:sz w:val="28"/>
          <w:szCs w:val="28"/>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2462"/>
        <w:gridCol w:w="2000"/>
        <w:gridCol w:w="2000"/>
        <w:gridCol w:w="5000"/>
        <w:gridCol w:w="3621"/>
      </w:tblGrid>
      <w:tr w:rsidR="00305EED">
        <w:trPr>
          <w:trHeight w:val="300"/>
        </w:trPr>
        <w:tc>
          <w:tcPr>
            <w:tcW w:w="2462"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(шт.)</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Номінальна вартість (грн)</w:t>
            </w:r>
          </w:p>
        </w:tc>
        <w:tc>
          <w:tcPr>
            <w:tcW w:w="5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Права та обов'язки</w:t>
            </w:r>
          </w:p>
        </w:tc>
        <w:tc>
          <w:tcPr>
            <w:tcW w:w="3621"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Наявність публічної пропозиції та/або допуску до торгів на фондовій біржі в частині включення до біржового реєстру</w:t>
            </w:r>
          </w:p>
        </w:tc>
      </w:tr>
      <w:tr w:rsidR="00305EED">
        <w:trPr>
          <w:trHeight w:val="300"/>
        </w:trPr>
        <w:tc>
          <w:tcPr>
            <w:tcW w:w="2462"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акцiя проста iменна</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2 156</w:t>
            </w:r>
          </w:p>
        </w:tc>
        <w:tc>
          <w:tcPr>
            <w:tcW w:w="2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195,93</w:t>
            </w:r>
          </w:p>
        </w:tc>
        <w:tc>
          <w:tcPr>
            <w:tcW w:w="5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Кожною простою акцiєю Товариства її власнику - акцiонеру надається однакова сукупнiсть прав, включаючи права на:  1) участь в управлiннi Товариством;  2) отримання дивiдендiв;  3) отримання у разi лiквiдацiї товариства частини його майна або вартостi частини майна Товариства;  4) отримання iнформацiї про господарську дiяльнiсть Товариства.  Одна проста акцiя товариства надає акцiонеру один голос для вирiшення кожного питання на загальних зборах, крiм випадкiв проведення кумулятивного голосування.  Акцiонери-власники простих акцiй товариства можуть мати й iншi права, передбаченi актами законодавства.   Акцiонери зобов'язанi: 1) дотримуватися статуту, iнших внутрiшнiх документiв Товариства; 2) виконувати рiшення загальних зборiв, iнших органiв Товариства; 3) виконувати свої зобов'язання перед Товариством, у тому числi пов'язанi з майновою участю; 4) оплачувати акцiї у розмiрi, в порядку та засобами, що передбаченi статутом Товариства; 5) не розголошувати комерцiйну таємницю та конфiденцiйну iнформацiю про дiяльнiсть Товариства.</w:t>
            </w:r>
          </w:p>
        </w:tc>
        <w:tc>
          <w:tcPr>
            <w:tcW w:w="362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sz w:val="20"/>
                <w:szCs w:val="20"/>
              </w:rPr>
            </w:pPr>
            <w:r>
              <w:rPr>
                <w:rFonts w:ascii="Times New Roman CYR" w:hAnsi="Times New Roman CYR" w:cs="Times New Roman CYR"/>
                <w:sz w:val="20"/>
                <w:szCs w:val="20"/>
              </w:rPr>
              <w:t>вiдсутня</w:t>
            </w:r>
          </w:p>
        </w:tc>
      </w:tr>
      <w:tr w:rsidR="00305EED">
        <w:trPr>
          <w:trHeight w:val="300"/>
        </w:trPr>
        <w:tc>
          <w:tcPr>
            <w:tcW w:w="15083" w:type="dxa"/>
            <w:gridSpan w:val="5"/>
            <w:tcBorders>
              <w:top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sz w:val="20"/>
                <w:szCs w:val="20"/>
              </w:rPr>
            </w:pPr>
            <w:r>
              <w:rPr>
                <w:rFonts w:ascii="Times New Roman CYR" w:hAnsi="Times New Roman CYR" w:cs="Times New Roman CYR"/>
                <w:b/>
                <w:bCs/>
                <w:sz w:val="20"/>
                <w:szCs w:val="20"/>
              </w:rPr>
              <w:t>Примітки:</w:t>
            </w:r>
          </w:p>
        </w:tc>
      </w:tr>
      <w:tr w:rsidR="00305EED">
        <w:trPr>
          <w:trHeight w:val="300"/>
        </w:trPr>
        <w:tc>
          <w:tcPr>
            <w:tcW w:w="15083" w:type="dxa"/>
            <w:gridSpan w:val="5"/>
            <w:tcBorders>
              <w:top w:val="single" w:sz="6" w:space="0" w:color="auto"/>
              <w:bottom w:val="single" w:sz="6" w:space="0" w:color="auto"/>
            </w:tcBorders>
            <w:vAlign w:val="center"/>
          </w:tcPr>
          <w:p w:rsidR="00305EED" w:rsidRDefault="00305EED">
            <w:pPr>
              <w:widowControl w:val="0"/>
              <w:autoSpaceDE w:val="0"/>
              <w:autoSpaceDN w:val="0"/>
              <w:adjustRightInd w:val="0"/>
              <w:jc w:val="both"/>
              <w:rPr>
                <w:rFonts w:ascii="Times New Roman CYR" w:hAnsi="Times New Roman CYR" w:cs="Times New Roman CYR"/>
                <w:sz w:val="20"/>
                <w:szCs w:val="20"/>
              </w:rPr>
            </w:pPr>
            <w:r>
              <w:rPr>
                <w:rFonts w:ascii="Times New Roman CYR" w:hAnsi="Times New Roman CYR" w:cs="Times New Roman CYR"/>
                <w:sz w:val="20"/>
                <w:szCs w:val="20"/>
              </w:rPr>
              <w:t>д/н</w:t>
            </w:r>
          </w:p>
        </w:tc>
      </w:tr>
    </w:tbl>
    <w:p w:rsidR="00305EED" w:rsidRDefault="00305EED">
      <w:pPr>
        <w:widowControl w:val="0"/>
        <w:autoSpaceDE w:val="0"/>
        <w:autoSpaceDN w:val="0"/>
        <w:adjustRightInd w:val="0"/>
        <w:rPr>
          <w:rFonts w:ascii="Times New Roman CYR" w:hAnsi="Times New Roman CYR" w:cs="Times New Roman CYR"/>
          <w:sz w:val="20"/>
          <w:szCs w:val="20"/>
        </w:rPr>
        <w:sectPr w:rsidR="00305EED">
          <w:pgSz w:w="16838" w:h="11906" w:orient="landscape"/>
          <w:pgMar w:top="850" w:right="850" w:bottom="850" w:left="1400" w:header="708" w:footer="708" w:gutter="0"/>
          <w:cols w:space="720"/>
          <w:noEndnote/>
        </w:sectPr>
      </w:pPr>
    </w:p>
    <w:p w:rsidR="00305EED" w:rsidRDefault="00305EED">
      <w:pPr>
        <w:widowControl w:val="0"/>
        <w:autoSpaceDE w:val="0"/>
        <w:autoSpaceDN w:val="0"/>
        <w:adjustRightInd w:val="0"/>
        <w:rPr>
          <w:rFonts w:ascii="Times New Roman CYR" w:hAnsi="Times New Roman CYR" w:cs="Times New Roman CYR"/>
          <w:sz w:val="20"/>
          <w:szCs w:val="20"/>
        </w:rPr>
        <w:sectPr w:rsidR="00305EED">
          <w:pgSz w:w="12240" w:h="15840"/>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XI. Відомості про цінні папери емітента</w:t>
      </w: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випуски акцій емітента</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500"/>
        <w:gridCol w:w="1450"/>
        <w:gridCol w:w="1450"/>
        <w:gridCol w:w="1200"/>
        <w:gridCol w:w="1400"/>
        <w:gridCol w:w="1400"/>
      </w:tblGrid>
      <w:tr w:rsidR="00305EED">
        <w:trPr>
          <w:trHeight w:val="200"/>
        </w:trPr>
        <w:tc>
          <w:tcPr>
            <w:tcW w:w="12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Міжнародний ідентифікаційний номер</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Тип цінного папера</w:t>
            </w:r>
          </w:p>
        </w:tc>
        <w:tc>
          <w:tcPr>
            <w:tcW w:w="14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Частка у статутному капіталі (у відсотках)</w:t>
            </w:r>
          </w:p>
        </w:tc>
      </w:tr>
      <w:tr w:rsidR="00305EED">
        <w:trPr>
          <w:trHeight w:val="200"/>
        </w:trPr>
        <w:tc>
          <w:tcPr>
            <w:tcW w:w="12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13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2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7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p>
        </w:tc>
        <w:tc>
          <w:tcPr>
            <w:tcW w:w="14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w:t>
            </w:r>
          </w:p>
        </w:tc>
        <w:tc>
          <w:tcPr>
            <w:tcW w:w="14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w:t>
            </w:r>
          </w:p>
        </w:tc>
        <w:tc>
          <w:tcPr>
            <w:tcW w:w="12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9</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w:t>
            </w:r>
          </w:p>
        </w:tc>
      </w:tr>
      <w:tr w:rsidR="00305EED">
        <w:trPr>
          <w:trHeight w:val="200"/>
        </w:trPr>
        <w:tc>
          <w:tcPr>
            <w:tcW w:w="12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10.01.2011</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18/10/1/11</w:t>
            </w:r>
          </w:p>
        </w:tc>
        <w:tc>
          <w:tcPr>
            <w:tcW w:w="2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Територiальне управлiння Державної комiсiї з цiнних паперiв та фондового ринку в м.Києвi та Київськiй областi</w:t>
            </w:r>
          </w:p>
        </w:tc>
        <w:tc>
          <w:tcPr>
            <w:tcW w:w="17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UA4000142434</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Акція проста бездокументарна іменна</w:t>
            </w:r>
          </w:p>
        </w:tc>
        <w:tc>
          <w:tcPr>
            <w:tcW w:w="14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Бездокументарні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195,93</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2 156</w:t>
            </w:r>
          </w:p>
        </w:tc>
        <w:tc>
          <w:tcPr>
            <w:tcW w:w="14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422 425,08</w:t>
            </w:r>
          </w:p>
        </w:tc>
        <w:tc>
          <w:tcPr>
            <w:tcW w:w="14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w:t>
            </w:r>
          </w:p>
        </w:tc>
      </w:tr>
      <w:tr w:rsidR="00305EED">
        <w:trPr>
          <w:trHeight w:val="200"/>
        </w:trPr>
        <w:tc>
          <w:tcPr>
            <w:tcW w:w="12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Опис</w:t>
            </w:r>
          </w:p>
        </w:tc>
        <w:tc>
          <w:tcPr>
            <w:tcW w:w="13850" w:type="dxa"/>
            <w:gridSpan w:val="9"/>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Торгiвля акцiями Товариства здiйснюється на позабiржовому ринку. На бiржових торгах, та на органiзацiйно оформлених позабiржових торгiвельних системах акцiї не обертаються.  Торгiвля акцiями проводиться тiльки на ринку України. Акцiї Товариства не включались та не виключались з лiстiнгу фондових бiрж.Додаткової емiсiї не реєструвалось. Спосiб розмiщення: Акцiї були розподiленi серед засновникiв. Вiдкритого розмiщення акцiй Товариство не здiйснювало.Протягом звiтного перiоду додаткового випуску не проводилось. Дострокове погашення не здiйснювалось.</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rPr>
          <w:rFonts w:ascii="Times New Roman CYR" w:hAnsi="Times New Roman CYR" w:cs="Times New Roman CYR"/>
          <w:sz w:val="22"/>
          <w:szCs w:val="22"/>
        </w:rPr>
        <w:sectPr w:rsidR="00305EED">
          <w:pgSz w:w="16838" w:h="11906" w:orient="landscape"/>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8. Інформація про наявність у власності працівників емітента акцій у розмірі понад 0,1 відсотка розміру статутного капіталу емітента</w:t>
      </w:r>
    </w:p>
    <w:p w:rsidR="00305EED" w:rsidRDefault="00305EED">
      <w:pPr>
        <w:widowControl w:val="0"/>
        <w:autoSpaceDE w:val="0"/>
        <w:autoSpaceDN w:val="0"/>
        <w:adjustRightInd w:val="0"/>
        <w:jc w:val="center"/>
        <w:rPr>
          <w:rFonts w:ascii="Times New Roman CYR" w:hAnsi="Times New Roman CYR" w:cs="Times New Roman CYR"/>
          <w:b/>
          <w:bCs/>
          <w:sz w:val="28"/>
          <w:szCs w:val="28"/>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962"/>
        <w:gridCol w:w="2500"/>
        <w:gridCol w:w="1500"/>
        <w:gridCol w:w="2500"/>
        <w:gridCol w:w="2621"/>
      </w:tblGrid>
      <w:tr w:rsidR="00305EED">
        <w:trPr>
          <w:trHeight w:val="300"/>
        </w:trPr>
        <w:tc>
          <w:tcPr>
            <w:tcW w:w="5962"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 батькові фізичної особи</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цінних паперів (шт.)</w:t>
            </w:r>
          </w:p>
        </w:tc>
        <w:tc>
          <w:tcPr>
            <w:tcW w:w="1500" w:type="dxa"/>
            <w:vMerge w:val="restart"/>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Від загальної кількості акцій (у відсотках)</w:t>
            </w:r>
          </w:p>
        </w:tc>
        <w:tc>
          <w:tcPr>
            <w:tcW w:w="5121"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за типами акцій</w:t>
            </w:r>
          </w:p>
        </w:tc>
      </w:tr>
      <w:tr w:rsidR="00305EED">
        <w:trPr>
          <w:trHeight w:val="300"/>
        </w:trPr>
        <w:tc>
          <w:tcPr>
            <w:tcW w:w="5962"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p>
        </w:tc>
        <w:tc>
          <w:tcPr>
            <w:tcW w:w="1500" w:type="dxa"/>
            <w:vMerge/>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прості іменні</w:t>
            </w:r>
          </w:p>
        </w:tc>
        <w:tc>
          <w:tcPr>
            <w:tcW w:w="2621"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привілейовані іменні</w:t>
            </w:r>
          </w:p>
        </w:tc>
      </w:tr>
      <w:tr w:rsidR="00305EED">
        <w:trPr>
          <w:trHeight w:val="300"/>
        </w:trPr>
        <w:tc>
          <w:tcPr>
            <w:tcW w:w="5962"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1</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2</w:t>
            </w:r>
          </w:p>
        </w:tc>
        <w:tc>
          <w:tcPr>
            <w:tcW w:w="1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4</w:t>
            </w:r>
          </w:p>
        </w:tc>
        <w:tc>
          <w:tcPr>
            <w:tcW w:w="2621"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0"/>
                <w:szCs w:val="20"/>
              </w:rPr>
            </w:pPr>
            <w:r>
              <w:rPr>
                <w:rFonts w:ascii="Times New Roman CYR" w:hAnsi="Times New Roman CYR" w:cs="Times New Roman CYR"/>
                <w:b/>
                <w:bCs/>
                <w:sz w:val="20"/>
                <w:szCs w:val="20"/>
              </w:rPr>
              <w:t>5</w:t>
            </w:r>
          </w:p>
        </w:tc>
      </w:tr>
      <w:tr w:rsidR="00305EED">
        <w:trPr>
          <w:trHeight w:val="300"/>
        </w:trPr>
        <w:tc>
          <w:tcPr>
            <w:tcW w:w="5962"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Шалiмов Володимир Iллiч</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1 898</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88,0334</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1 898</w:t>
            </w:r>
          </w:p>
        </w:tc>
        <w:tc>
          <w:tcPr>
            <w:tcW w:w="262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305EED">
        <w:trPr>
          <w:trHeight w:val="300"/>
        </w:trPr>
        <w:tc>
          <w:tcPr>
            <w:tcW w:w="5962"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Шалiмов Iгор Володимирович</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258</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11,9666</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258</w:t>
            </w:r>
          </w:p>
        </w:tc>
        <w:tc>
          <w:tcPr>
            <w:tcW w:w="262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305EED">
        <w:trPr>
          <w:trHeight w:val="300"/>
        </w:trPr>
        <w:tc>
          <w:tcPr>
            <w:tcW w:w="5962"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Усього</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2 156</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100</w:t>
            </w:r>
          </w:p>
        </w:tc>
        <w:tc>
          <w:tcPr>
            <w:tcW w:w="2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2 156</w:t>
            </w:r>
          </w:p>
        </w:tc>
        <w:tc>
          <w:tcPr>
            <w:tcW w:w="2621"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bl>
    <w:p w:rsidR="00305EED" w:rsidRDefault="00305EED">
      <w:pPr>
        <w:widowControl w:val="0"/>
        <w:autoSpaceDE w:val="0"/>
        <w:autoSpaceDN w:val="0"/>
        <w:adjustRightInd w:val="0"/>
        <w:rPr>
          <w:rFonts w:ascii="Times New Roman CYR" w:hAnsi="Times New Roman CYR" w:cs="Times New Roman CYR"/>
          <w:sz w:val="20"/>
          <w:szCs w:val="20"/>
        </w:rPr>
      </w:pPr>
    </w:p>
    <w:p w:rsidR="00305EED" w:rsidRDefault="00305EED">
      <w:pPr>
        <w:widowControl w:val="0"/>
        <w:autoSpaceDE w:val="0"/>
        <w:autoSpaceDN w:val="0"/>
        <w:adjustRightInd w:val="0"/>
        <w:rPr>
          <w:rFonts w:ascii="Times New Roman CYR" w:hAnsi="Times New Roman CYR" w:cs="Times New Roman CYR"/>
          <w:sz w:val="20"/>
          <w:szCs w:val="20"/>
        </w:rPr>
        <w:sectPr w:rsidR="00305EED">
          <w:pgSz w:w="16838" w:h="11906" w:orient="landscape"/>
          <w:pgMar w:top="850" w:right="850" w:bottom="850" w:left="1400" w:header="708" w:footer="708" w:gutter="0"/>
          <w:cols w:space="720"/>
          <w:noEndnote/>
        </w:sectPr>
      </w:pPr>
    </w:p>
    <w:p w:rsidR="00305EED" w:rsidRDefault="00305EED">
      <w:pPr>
        <w:widowControl w:val="0"/>
        <w:autoSpaceDE w:val="0"/>
        <w:autoSpaceDN w:val="0"/>
        <w:adjustRightInd w:val="0"/>
        <w:rPr>
          <w:rFonts w:ascii="Times New Roman CYR" w:hAnsi="Times New Roman CYR" w:cs="Times New Roman CYR"/>
          <w:sz w:val="20"/>
          <w:szCs w:val="20"/>
        </w:r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XIII. Інформація про господарську та фінансову діяльність емітента</w:t>
      </w: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основні засоби емітента (за залишковою вартістю)</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305EED">
        <w:trPr>
          <w:trHeight w:val="200"/>
        </w:trPr>
        <w:tc>
          <w:tcPr>
            <w:tcW w:w="3058" w:type="dxa"/>
            <w:vMerge w:val="restart"/>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Основні засоби, усього (тис. грн)</w:t>
            </w:r>
          </w:p>
        </w:tc>
      </w:tr>
      <w:tr w:rsidR="00305EED">
        <w:trPr>
          <w:trHeight w:val="200"/>
        </w:trPr>
        <w:tc>
          <w:tcPr>
            <w:tcW w:w="3058" w:type="dxa"/>
            <w:vMerge/>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початок періоду</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кінець періоду</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30 324,2</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34 951,5</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30 324,2</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34 951,5</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7 230,3</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6 902,5</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7 230,3</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6 902,5</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8 327,9</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10 037,1</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8 327,9</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10 037,1</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6 189,2</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10 127,1</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6 189,2</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10 127,1</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4 619,1</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4 619,1</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4 619,1</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4 619,1</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3 957,7</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3 265,7</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3 957,7</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3 265,7</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64,8</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59,5</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64,8</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59,5</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51,1</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48,2</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51,1</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48,2</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13,7</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11,3</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13,7</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11,3</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30 389</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35 011</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30 389</w:t>
            </w:r>
          </w:p>
        </w:tc>
        <w:tc>
          <w:tcPr>
            <w:tcW w:w="1082"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35 011</w:t>
            </w:r>
          </w:p>
        </w:tc>
      </w:tr>
      <w:tr w:rsidR="00305EED">
        <w:trPr>
          <w:trHeight w:val="200"/>
        </w:trPr>
        <w:tc>
          <w:tcPr>
            <w:tcW w:w="3058"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Опис</w:t>
            </w:r>
          </w:p>
        </w:tc>
        <w:tc>
          <w:tcPr>
            <w:tcW w:w="7022" w:type="dxa"/>
            <w:gridSpan w:val="6"/>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Термiни та умови користування основними засобами (за основними групами): -будiвлi та споруди - до повного використання, вiдповiдно до технiчних характеристик; - машини та обладнання - до повного використання, вiдповiдно до технiчних характеристик; - транспортнi засоби - до повного використання, вiдповiдно до технiчних характеристик; - iншi - до повного використання, вiдповiдно до технiчних характеристик. Всi основнi засоби власнi, орендованих засобiв немає. Первiсна вартiсть основних засобiв: будинки та споруди 7 722,4 тис. грн., машини та обладнання 20 677,2 тис.грн., транспортнi засоби 24 000,2 тис.грн., iншi 15 739,2 тис.грн. Ступiнь зносу основних засобiв: будинки та споруди 11%, машини та обладнання 51%, транспортнi засоби 58%, iншi 67% Ступiнь використання основних засобiв: всi основнi засоби використовуються на 100%. Сума нарахованого зносу: 37 747 тис.грн. Суттєвi змiни у вартостi основних засобiв зумовленi: придбанням будiвель, транспортних засобiв, машин та обладнання, iнструментiв. Iнформацiя про всi обмеження на використання майна емiтента: обмеження вiдсутнi.</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2. Інформація щодо вартості чистих активів емітента</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305EED">
        <w:trPr>
          <w:trHeight w:val="200"/>
        </w:trPr>
        <w:tc>
          <w:tcPr>
            <w:tcW w:w="4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За звітний період</w:t>
            </w:r>
          </w:p>
        </w:tc>
        <w:tc>
          <w:tcPr>
            <w:tcW w:w="3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За попередній період</w:t>
            </w:r>
          </w:p>
        </w:tc>
      </w:tr>
      <w:tr w:rsidR="00305EED">
        <w:trPr>
          <w:trHeight w:val="200"/>
        </w:trPr>
        <w:tc>
          <w:tcPr>
            <w:tcW w:w="4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11 825</w:t>
            </w:r>
          </w:p>
        </w:tc>
        <w:tc>
          <w:tcPr>
            <w:tcW w:w="3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11 745</w:t>
            </w:r>
          </w:p>
        </w:tc>
      </w:tr>
      <w:tr w:rsidR="00305EED">
        <w:trPr>
          <w:trHeight w:val="200"/>
        </w:trPr>
        <w:tc>
          <w:tcPr>
            <w:tcW w:w="4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c>
          <w:tcPr>
            <w:tcW w:w="3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r>
      <w:tr w:rsidR="00305EED">
        <w:trPr>
          <w:trHeight w:val="200"/>
        </w:trPr>
        <w:tc>
          <w:tcPr>
            <w:tcW w:w="4000" w:type="dxa"/>
            <w:gridSpan w:val="2"/>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c>
          <w:tcPr>
            <w:tcW w:w="3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r>
      <w:tr w:rsidR="00305EED">
        <w:trPr>
          <w:trHeight w:val="200"/>
        </w:trPr>
        <w:tc>
          <w:tcPr>
            <w:tcW w:w="126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Опис</w:t>
            </w:r>
          </w:p>
        </w:tc>
        <w:tc>
          <w:tcPr>
            <w:tcW w:w="874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 xml:space="preserve">Використана методика розрахунку вартостi чистих активiв емiтента за попереднiй та звiтний перiоди вiдповiдно до ст. 14 Закону України "Про акцiонернi товариства".  Рiзниця мiж розрахунковою вартiстю чистих активiв i статутним капiталом на кiнець звiтного перiоду становить 11403 тис.грн. Рiзниця мiж розрахунковою вартiстю чистих активiв та скоригованим статутним капiталом на кiнець звiтного перiоду становить 11403 тис.грн.  Рiзниця мiж розрахунковою вартiстю чистих активiв i статутним капiталом на кiнець попереднього перiоду становить 11323 тис.грн. Рiзниця мiж розрахунковою вартiстю чистих активiв та скоригованим статутним капiталом на кiнець попереднього перiоду становить 11323 тис.грн. </w:t>
            </w:r>
          </w:p>
        </w:tc>
      </w:tr>
      <w:tr w:rsidR="00305EED">
        <w:trPr>
          <w:trHeight w:val="200"/>
        </w:trPr>
        <w:tc>
          <w:tcPr>
            <w:tcW w:w="126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Висновок</w:t>
            </w:r>
          </w:p>
        </w:tc>
        <w:tc>
          <w:tcPr>
            <w:tcW w:w="8740" w:type="dxa"/>
            <w:gridSpan w:val="3"/>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Вартiсть чистих активiв акцiонерного товариства не менша вiд статутного капiталу (скоригованого). Вимоги п.3 ст.155 Цивiльного кодексу України дотримуються.</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3. Інформація про зобов'язання та забезпечення емітента</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305EED">
        <w:trPr>
          <w:trHeight w:val="2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Дата погашення</w:t>
            </w:r>
          </w:p>
        </w:tc>
      </w:tr>
      <w:tr w:rsidR="00305EED">
        <w:trPr>
          <w:trHeight w:val="2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2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481</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161 139</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161 620</w:t>
            </w:r>
          </w:p>
        </w:tc>
        <w:tc>
          <w:tcPr>
            <w:tcW w:w="194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c>
          <w:tcPr>
            <w:tcW w:w="1328"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X</w:t>
            </w:r>
          </w:p>
        </w:tc>
      </w:tr>
      <w:tr w:rsidR="00305EED">
        <w:trPr>
          <w:trHeight w:val="300"/>
        </w:trPr>
        <w:tc>
          <w:tcPr>
            <w:tcW w:w="378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Опис</w:t>
            </w:r>
          </w:p>
        </w:tc>
        <w:tc>
          <w:tcPr>
            <w:tcW w:w="6188" w:type="dxa"/>
            <w:gridSpan w:val="4"/>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Iншi зобов'язання складаються з: - кредиторська заборгованiсть за товари, роботи, послуги: 8 848  тис.грн. - з одержаних авансiв: 141 532 тис.грн. - зi страхування: 219 тис.грн. - з оплати працi: 780 тис.грн. - iншi поточнi зобовязання: 9 760 тис.грн.</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6. Інформація про осіб, послугами яких користується емітент</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Публiчне акцiонерне товариство "Нацiональний депозитарiй України"</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Публічне акціонерне товариство</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30370711</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Місцезнаходження</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04107, Україна, - р-н, м.Київ, вул. Тропiнiна, 7-г</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без лiцензiї</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01.01.1900</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Міжміський код та телефон</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(044) 591-04-04</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Факс</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(044) 591-04-40</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Вид діяльності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Депозитарна дiяльнiсть Центрального депозитарiю</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Опис</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Особа здiйснює обслуговування випуску акцiй Товариства.</w:t>
            </w:r>
          </w:p>
        </w:tc>
      </w:tr>
    </w:tbl>
    <w:p w:rsidR="00305EED" w:rsidRDefault="00305EED">
      <w:pPr>
        <w:widowControl w:val="0"/>
        <w:autoSpaceDE w:val="0"/>
        <w:autoSpaceDN w:val="0"/>
        <w:adjustRightInd w:val="0"/>
        <w:rPr>
          <w:rFonts w:ascii="Times New Roman CYR" w:hAnsi="Times New Roman CYR" w:cs="Times New Roman CYR"/>
          <w:sz w:val="22"/>
          <w:szCs w:val="22"/>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Приватне пiдприємство "IНФОРМАУДИТ"</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Приватне підприємство</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31058616</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Місцезнаходження</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03057, Україна, - р-н, м.Київ, вул. Смоленська, 6, кiмната 101</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4712</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Аудиторська палата України</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28.09.2017</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Міжміський код та телефон</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(044)2040740</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Факс</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(044)2040740</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Вид діяльності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Аудитор (аудиторськa фiрмa), якa надає аудиторськi послуги емiтенту</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Опис</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Надає всi аудиторськi послуги з перевiрки та пiдтвердження достовiрностi фiнансової звiтностi на рiзних етапах її складання</w:t>
            </w:r>
          </w:p>
        </w:tc>
      </w:tr>
    </w:tbl>
    <w:p w:rsidR="00305EED" w:rsidRDefault="00305EED">
      <w:pPr>
        <w:widowControl w:val="0"/>
        <w:autoSpaceDE w:val="0"/>
        <w:autoSpaceDN w:val="0"/>
        <w:adjustRightInd w:val="0"/>
        <w:rPr>
          <w:rFonts w:ascii="Times New Roman CYR" w:hAnsi="Times New Roman CYR" w:cs="Times New Roman CYR"/>
          <w:sz w:val="22"/>
          <w:szCs w:val="22"/>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Державна установа "Агентство з розвитку iнфраструктури фондового ринку України"</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Державна організація (установа, заклад)</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21676262</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Місцезнаходження</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03150, УКРАЇНА, Голосiївський р-н, м. Київ, вул. Антоновича, 51, оф. 1206</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DR/00001/APA</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Нацiональна комiсiя з цiнних паперiв та фондового ринку</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18.02.2019</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Міжміський код та телефон</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(044) 287-56-70</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Факс</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(044) 287-56-73</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Вид діяльності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Дiяльнiсть з надання iнформацiйних послуг на фондовому ринку</w:t>
            </w:r>
          </w:p>
        </w:tc>
      </w:tr>
      <w:tr w:rsidR="00305EED">
        <w:trPr>
          <w:trHeight w:val="200"/>
        </w:trPr>
        <w:tc>
          <w:tcPr>
            <w:tcW w:w="60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Опис</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Вид послуг, якi надає особа: Особа надає Товариству послуги з подання звiтностi та/або адмiнiстративних даних до НКЦПФР та оприлюднення регульованої iнформацiї вiд iменi учасникiв фондового ринку.</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rPr>
          <w:rFonts w:ascii="Times New Roman CYR" w:hAnsi="Times New Roman CYR" w:cs="Times New Roman CYR"/>
          <w:sz w:val="22"/>
          <w:szCs w:val="22"/>
        </w:rPr>
        <w:sectPr w:rsidR="00305EED">
          <w:pgSz w:w="12240" w:h="15840"/>
          <w:pgMar w:top="850" w:right="850" w:bottom="850" w:left="1400" w:header="708" w:footer="708" w:gutter="0"/>
          <w:cols w:space="720"/>
          <w:noEndnote/>
        </w:sectPr>
      </w:pPr>
    </w:p>
    <w:tbl>
      <w:tblPr>
        <w:tblW w:w="0" w:type="auto"/>
        <w:tblInd w:w="2" w:type="dxa"/>
        <w:tblLayout w:type="fixed"/>
        <w:tblLook w:val="0000"/>
      </w:tblPr>
      <w:tblGrid>
        <w:gridCol w:w="2160"/>
        <w:gridCol w:w="4466"/>
        <w:gridCol w:w="1654"/>
        <w:gridCol w:w="1720"/>
      </w:tblGrid>
      <w:tr w:rsidR="00305EED">
        <w:trPr>
          <w:trHeight w:val="300"/>
        </w:trPr>
        <w:tc>
          <w:tcPr>
            <w:tcW w:w="1720" w:type="dxa"/>
            <w:gridSpan w:val="4"/>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КОДИ</w:t>
            </w:r>
          </w:p>
        </w:tc>
      </w:tr>
      <w:tr w:rsidR="00305EED">
        <w:trPr>
          <w:trHeight w:val="300"/>
        </w:trPr>
        <w:tc>
          <w:tcPr>
            <w:tcW w:w="1654" w:type="dxa"/>
            <w:gridSpan w:val="3"/>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01.01.2021</w:t>
            </w:r>
          </w:p>
        </w:tc>
      </w:tr>
      <w:tr w:rsidR="00305EED">
        <w:trPr>
          <w:trHeight w:val="298"/>
        </w:trPr>
        <w:tc>
          <w:tcPr>
            <w:tcW w:w="2160"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Підприємство</w:t>
            </w:r>
          </w:p>
        </w:tc>
        <w:tc>
          <w:tcPr>
            <w:tcW w:w="4466"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ПРИВАТНЕ АКЦIОНЕРНЕ ТОВАРИСТВО "АГРОБУДМЕХАНIЗАЦIЯ"</w:t>
            </w:r>
          </w:p>
        </w:tc>
        <w:tc>
          <w:tcPr>
            <w:tcW w:w="1654" w:type="dxa"/>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13708491</w:t>
            </w:r>
          </w:p>
        </w:tc>
      </w:tr>
      <w:tr w:rsidR="00305EED">
        <w:trPr>
          <w:trHeight w:val="298"/>
        </w:trPr>
        <w:tc>
          <w:tcPr>
            <w:tcW w:w="2160"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Територія</w:t>
            </w:r>
          </w:p>
        </w:tc>
        <w:tc>
          <w:tcPr>
            <w:tcW w:w="4466"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Київська область, м.Бориспiль</w:t>
            </w:r>
          </w:p>
        </w:tc>
        <w:tc>
          <w:tcPr>
            <w:tcW w:w="1654" w:type="dxa"/>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за КОАТУУ</w:t>
            </w:r>
          </w:p>
        </w:tc>
        <w:tc>
          <w:tcPr>
            <w:tcW w:w="172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3210500000</w:t>
            </w:r>
          </w:p>
        </w:tc>
      </w:tr>
      <w:tr w:rsidR="00305EED">
        <w:trPr>
          <w:trHeight w:val="298"/>
        </w:trPr>
        <w:tc>
          <w:tcPr>
            <w:tcW w:w="2160"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Організаційно-правова форма господарювання</w:t>
            </w:r>
          </w:p>
        </w:tc>
        <w:tc>
          <w:tcPr>
            <w:tcW w:w="4466"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Акціонерне товариство</w:t>
            </w:r>
          </w:p>
        </w:tc>
        <w:tc>
          <w:tcPr>
            <w:tcW w:w="1654" w:type="dxa"/>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230</w:t>
            </w:r>
          </w:p>
        </w:tc>
      </w:tr>
      <w:tr w:rsidR="00305EED">
        <w:trPr>
          <w:trHeight w:val="298"/>
        </w:trPr>
        <w:tc>
          <w:tcPr>
            <w:tcW w:w="2160"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Вид економічної діяльності</w:t>
            </w:r>
          </w:p>
        </w:tc>
        <w:tc>
          <w:tcPr>
            <w:tcW w:w="4466"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Будівництво житлових і нежитлових будівель</w:t>
            </w:r>
          </w:p>
        </w:tc>
        <w:tc>
          <w:tcPr>
            <w:tcW w:w="1654" w:type="dxa"/>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41.20</w:t>
            </w:r>
          </w:p>
        </w:tc>
      </w:tr>
    </w:tbl>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Середня кількість працівників: </w:t>
      </w:r>
      <w:r>
        <w:rPr>
          <w:rFonts w:ascii="Times New Roman CYR" w:hAnsi="Times New Roman CYR" w:cs="Times New Roman CYR"/>
          <w:sz w:val="22"/>
          <w:szCs w:val="22"/>
        </w:rPr>
        <w:t>347</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Адреса, телефон: </w:t>
      </w:r>
      <w:r>
        <w:rPr>
          <w:rFonts w:ascii="Times New Roman CYR" w:hAnsi="Times New Roman CYR" w:cs="Times New Roman CYR"/>
          <w:sz w:val="22"/>
          <w:szCs w:val="22"/>
        </w:rPr>
        <w:t>08304 Бориспiль, Привокзальна, будинок 76-А, (04595)-7-10-27</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Одиниця виміру: </w:t>
      </w:r>
      <w:r>
        <w:rPr>
          <w:rFonts w:ascii="Times New Roman CYR" w:hAnsi="Times New Roman CYR" w:cs="Times New Roman CYR"/>
          <w:sz w:val="22"/>
          <w:szCs w:val="22"/>
        </w:rPr>
        <w:t>тис.грн. без десяткового знака</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Складено </w:t>
      </w:r>
      <w:r>
        <w:rPr>
          <w:rFonts w:ascii="Times New Roman CYR" w:hAnsi="Times New Roman CYR" w:cs="Times New Roman CYR"/>
          <w:sz w:val="22"/>
          <w:szCs w:val="22"/>
        </w:rPr>
        <w:t>(зробити позначку "v" у відповідній клітинці):</w:t>
      </w:r>
    </w:p>
    <w:tbl>
      <w:tblPr>
        <w:tblW w:w="0" w:type="auto"/>
        <w:tblInd w:w="2" w:type="dxa"/>
        <w:tblLayout w:type="fixed"/>
        <w:tblLook w:val="0000"/>
      </w:tblPr>
      <w:tblGrid>
        <w:gridCol w:w="5650"/>
        <w:gridCol w:w="350"/>
      </w:tblGrid>
      <w:tr w:rsidR="00305EED">
        <w:trPr>
          <w:trHeight w:val="298"/>
        </w:trPr>
        <w:tc>
          <w:tcPr>
            <w:tcW w:w="5650" w:type="dxa"/>
            <w:vMerge w:val="restart"/>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 положеннями (стандартами) бухгалтерського обліку</w:t>
            </w:r>
          </w:p>
        </w:tc>
        <w:tc>
          <w:tcPr>
            <w:tcW w:w="3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v</w:t>
            </w:r>
          </w:p>
        </w:tc>
      </w:tr>
      <w:tr w:rsidR="00305EED">
        <w:trPr>
          <w:trHeight w:val="298"/>
        </w:trPr>
        <w:tc>
          <w:tcPr>
            <w:tcW w:w="5650" w:type="dxa"/>
            <w:vMerge w:val="restart"/>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 міжнародними стандартами фінансової звітності</w:t>
            </w:r>
          </w:p>
        </w:tc>
        <w:tc>
          <w:tcPr>
            <w:tcW w:w="3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Баланс</w:t>
      </w: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(Звіт про фінансовий стан)</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rPr>
        <w:t>на 31.12.2020 p.</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Форма №1</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024"/>
        <w:gridCol w:w="776"/>
        <w:gridCol w:w="1400"/>
        <w:gridCol w:w="1400"/>
        <w:gridCol w:w="1400"/>
      </w:tblGrid>
      <w:tr w:rsidR="00305EED">
        <w:trPr>
          <w:trHeight w:val="280"/>
        </w:trPr>
        <w:tc>
          <w:tcPr>
            <w:tcW w:w="1600" w:type="dxa"/>
            <w:gridSpan w:val="4"/>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sz w:val="22"/>
                <w:szCs w:val="22"/>
              </w:rPr>
            </w:pPr>
            <w:r>
              <w:rPr>
                <w:rFonts w:ascii="Times New Roman CYR" w:hAnsi="Times New Roman CYR" w:cs="Times New Roman CYR"/>
                <w:sz w:val="22"/>
                <w:szCs w:val="22"/>
              </w:rPr>
              <w:t>Код за ДКУД</w:t>
            </w:r>
          </w:p>
        </w:tc>
        <w:tc>
          <w:tcPr>
            <w:tcW w:w="14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right"/>
              <w:rPr>
                <w:rFonts w:ascii="Times New Roman CYR" w:hAnsi="Times New Roman CYR" w:cs="Times New Roman CYR"/>
                <w:sz w:val="22"/>
                <w:szCs w:val="22"/>
              </w:rPr>
            </w:pPr>
            <w:r>
              <w:rPr>
                <w:rFonts w:ascii="Times New Roman CYR" w:hAnsi="Times New Roman CYR" w:cs="Times New Roman CYR"/>
                <w:sz w:val="22"/>
                <w:szCs w:val="22"/>
              </w:rPr>
              <w:t>1801001</w:t>
            </w:r>
          </w:p>
        </w:tc>
      </w:tr>
      <w:tr w:rsidR="00305EED">
        <w:trPr>
          <w:trHeight w:val="3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 рядка</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початок звітного періоду</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кінець звітного періоду</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дату переходу на МСФЗ</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( 24 )</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( 24 )</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1005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30 389</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35 011</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61 799</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72 758</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( 31 410 )</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( 37 747 )</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1016</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1017</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1020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1021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1022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1030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1035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117</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117</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1040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1045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1050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1060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1065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1090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1095</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30 506</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35 128</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1100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27 308</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19 996</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1101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27 269</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19 774</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1102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1103</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1104</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39</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222</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1110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1115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1120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1125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24 811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14 760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1130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77 639</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67 149</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1135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1136</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1140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1145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1 404</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744</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1155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1160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1165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20 639</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17 209</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1166</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1167</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20 639</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17 209</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1170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1180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1181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1182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1183</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1184</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1190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12 561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18 459</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1195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164 362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138 317</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1200</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1300</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194 868</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173 445</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bl>
    <w:p w:rsidR="00305EED" w:rsidRDefault="00305EED">
      <w:pPr>
        <w:widowControl w:val="0"/>
        <w:autoSpaceDE w:val="0"/>
        <w:autoSpaceDN w:val="0"/>
        <w:adjustRightInd w:val="0"/>
        <w:rPr>
          <w:rFonts w:ascii="Times New Roman CYR" w:hAnsi="Times New Roman CYR" w:cs="Times New Roman CYR"/>
          <w:sz w:val="22"/>
          <w:szCs w:val="22"/>
        </w:rPr>
      </w:pP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024"/>
        <w:gridCol w:w="776"/>
        <w:gridCol w:w="1400"/>
        <w:gridCol w:w="1400"/>
        <w:gridCol w:w="1400"/>
      </w:tblGrid>
      <w:tr w:rsidR="00305EED">
        <w:trPr>
          <w:trHeight w:val="529"/>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 рядка</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початок звітного періоду</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кінець звітного періоду</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 дату переходу на МСФЗ</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5"/>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1400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1401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1405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1410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332</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1411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1412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1415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4 552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4 552</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1420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6 439</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6 519</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1425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1430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1435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1495</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11 745</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11 825</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1500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1505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1510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1515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1520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1521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1525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1526</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1530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1531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1532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1533</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1534</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1535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1540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1545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1595</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top w:val="none" w:sz="0" w:space="0" w:color="auto"/>
            <w:left w:val="none" w:sz="0" w:space="0" w:color="auto"/>
            <w:bottom w:val="none" w:sz="0" w:space="0" w:color="auto"/>
            <w:right w:val="none" w:sz="0" w:space="0" w:color="auto"/>
          </w:tblBorders>
        </w:tblPrEx>
        <w:trPr>
          <w:trHeight w:val="200"/>
        </w:trPr>
        <w:tc>
          <w:tcPr>
            <w:tcW w:w="5024"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1600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1605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1610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1615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2 032</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8 848</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1620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538</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481</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1621</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216</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194</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1625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155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219</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1630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666</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780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1635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168 055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141 532</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1640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1645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1650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1660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1665</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1670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1690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11 677</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9 760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1695</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183 123</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161 620</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1700</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blPrEx>
          <w:tblBorders>
            <w:bottom w:val="none" w:sz="0" w:space="0" w:color="auto"/>
          </w:tblBorders>
        </w:tblPrEx>
        <w:trPr>
          <w:trHeight w:val="200"/>
        </w:trPr>
        <w:tc>
          <w:tcPr>
            <w:tcW w:w="5024"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1800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4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024"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1900</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194 868</w:t>
            </w:r>
          </w:p>
        </w:tc>
        <w:tc>
          <w:tcPr>
            <w:tcW w:w="14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173 445</w:t>
            </w:r>
          </w:p>
        </w:tc>
        <w:tc>
          <w:tcPr>
            <w:tcW w:w="140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bl>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Примітки: Складено згiдно вимог ПСБО</w:t>
      </w:r>
    </w:p>
    <w:p w:rsidR="00305EED" w:rsidRDefault="00305EED">
      <w:pPr>
        <w:widowControl w:val="0"/>
        <w:autoSpaceDE w:val="0"/>
        <w:autoSpaceDN w:val="0"/>
        <w:adjustRightInd w:val="0"/>
        <w:jc w:val="both"/>
        <w:rPr>
          <w:rFonts w:ascii="Times New Roman CYR" w:hAnsi="Times New Roman CYR" w:cs="Times New Roman CYR"/>
          <w:sz w:val="22"/>
          <w:szCs w:val="22"/>
        </w:rPr>
      </w:pPr>
    </w:p>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Керівник</w:t>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t>Шалiмов В.I.</w:t>
      </w:r>
    </w:p>
    <w:p w:rsidR="00305EED" w:rsidRDefault="00305EED">
      <w:pPr>
        <w:widowControl w:val="0"/>
        <w:autoSpaceDE w:val="0"/>
        <w:autoSpaceDN w:val="0"/>
        <w:adjustRightInd w:val="0"/>
        <w:jc w:val="both"/>
        <w:rPr>
          <w:rFonts w:ascii="Times New Roman CYR" w:hAnsi="Times New Roman CYR" w:cs="Times New Roman CYR"/>
          <w:sz w:val="22"/>
          <w:szCs w:val="22"/>
        </w:rPr>
      </w:pPr>
    </w:p>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Головний бухгалтер</w:t>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t>Бойко К.С.</w:t>
      </w:r>
    </w:p>
    <w:p w:rsidR="00305EED" w:rsidRDefault="00305EED">
      <w:pPr>
        <w:widowControl w:val="0"/>
        <w:autoSpaceDE w:val="0"/>
        <w:autoSpaceDN w:val="0"/>
        <w:adjustRightInd w:val="0"/>
        <w:jc w:val="both"/>
        <w:rPr>
          <w:rFonts w:ascii="Times New Roman CYR" w:hAnsi="Times New Roman CYR" w:cs="Times New Roman CYR"/>
          <w:sz w:val="22"/>
          <w:szCs w:val="22"/>
        </w:rPr>
        <w:sectPr w:rsidR="00305EED">
          <w:pgSz w:w="12240" w:h="15840"/>
          <w:pgMar w:top="850" w:right="850" w:bottom="850" w:left="1400" w:header="708" w:footer="708" w:gutter="0"/>
          <w:cols w:space="720"/>
          <w:noEndnote/>
        </w:sectPr>
      </w:pPr>
    </w:p>
    <w:tbl>
      <w:tblPr>
        <w:tblW w:w="0" w:type="auto"/>
        <w:tblInd w:w="2" w:type="dxa"/>
        <w:tblLayout w:type="fixed"/>
        <w:tblLook w:val="0000"/>
      </w:tblPr>
      <w:tblGrid>
        <w:gridCol w:w="2160"/>
        <w:gridCol w:w="4466"/>
        <w:gridCol w:w="1654"/>
        <w:gridCol w:w="1720"/>
      </w:tblGrid>
      <w:tr w:rsidR="00305EED">
        <w:trPr>
          <w:trHeight w:val="300"/>
        </w:trPr>
        <w:tc>
          <w:tcPr>
            <w:tcW w:w="1720" w:type="dxa"/>
            <w:gridSpan w:val="4"/>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КОДИ</w:t>
            </w:r>
          </w:p>
        </w:tc>
      </w:tr>
      <w:tr w:rsidR="00305EED">
        <w:trPr>
          <w:trHeight w:val="300"/>
        </w:trPr>
        <w:tc>
          <w:tcPr>
            <w:tcW w:w="1654" w:type="dxa"/>
            <w:gridSpan w:val="3"/>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01.01.2021</w:t>
            </w:r>
          </w:p>
        </w:tc>
      </w:tr>
      <w:tr w:rsidR="00305EED">
        <w:trPr>
          <w:trHeight w:val="298"/>
        </w:trPr>
        <w:tc>
          <w:tcPr>
            <w:tcW w:w="2160"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Підприємство</w:t>
            </w:r>
          </w:p>
        </w:tc>
        <w:tc>
          <w:tcPr>
            <w:tcW w:w="4466"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ПРИВАТНЕ АКЦIОНЕРНЕ ТОВАРИСТВО "АГРОБУДМЕХАНIЗАЦIЯ"</w:t>
            </w:r>
          </w:p>
        </w:tc>
        <w:tc>
          <w:tcPr>
            <w:tcW w:w="1654" w:type="dxa"/>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b/>
                <w:bCs/>
                <w:sz w:val="22"/>
                <w:szCs w:val="22"/>
              </w:rPr>
            </w:pPr>
            <w:r>
              <w:rPr>
                <w:rFonts w:ascii="Times New Roman CYR" w:hAnsi="Times New Roman CYR" w:cs="Times New Roman CYR"/>
                <w:b/>
                <w:bCs/>
                <w:sz w:val="22"/>
                <w:szCs w:val="22"/>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13708491</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Звіт про фінансові результати</w:t>
      </w: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(Звіт про сукупний дохід)</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2020 рік</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Форма №2</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І. Фінансові результати</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305EED">
        <w:trPr>
          <w:trHeight w:val="280"/>
        </w:trPr>
        <w:tc>
          <w:tcPr>
            <w:tcW w:w="1501" w:type="dxa"/>
            <w:gridSpan w:val="3"/>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sz w:val="22"/>
                <w:szCs w:val="22"/>
              </w:rPr>
            </w:pPr>
            <w:r>
              <w:rPr>
                <w:rFonts w:ascii="Times New Roman CYR" w:hAnsi="Times New Roman CYR" w:cs="Times New Roman CYR"/>
                <w:sz w:val="22"/>
                <w:szCs w:val="22"/>
              </w:rPr>
              <w:t>Код за ДКУД</w:t>
            </w:r>
          </w:p>
        </w:tc>
        <w:tc>
          <w:tcPr>
            <w:tcW w:w="1349"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right"/>
              <w:rPr>
                <w:rFonts w:ascii="Times New Roman CYR" w:hAnsi="Times New Roman CYR" w:cs="Times New Roman CYR"/>
                <w:sz w:val="22"/>
                <w:szCs w:val="22"/>
              </w:rPr>
            </w:pPr>
            <w:r>
              <w:rPr>
                <w:rFonts w:ascii="Times New Roman CYR" w:hAnsi="Times New Roman CYR" w:cs="Times New Roman CYR"/>
                <w:sz w:val="22"/>
                <w:szCs w:val="22"/>
              </w:rPr>
              <w:t>1801003</w:t>
            </w:r>
          </w:p>
        </w:tc>
      </w:tr>
      <w:tr w:rsidR="00305EED">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аналогічний період попереднього року</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645" w:type="dxa"/>
            <w:tcBorders>
              <w:top w:val="single" w:sz="6" w:space="0" w:color="auto"/>
              <w:left w:val="single" w:sz="6" w:space="0" w:color="auto"/>
              <w:bottom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557 414</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593 977</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2011</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2012</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2013</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2014</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( 547 339 )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( 583 720 )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2070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Валовий:</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2090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10 075</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10 257</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2095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2111</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2112</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2120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674</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1 486</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2121</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2122</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2123</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2130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( 9 084 )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( 8 859 )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2180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( 806 )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( 1 699 )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2181</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2182</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Фінансовий результат від операційної діяльності:</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2190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859</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1 185</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2195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2220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1 223</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819</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2240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2241</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2255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2270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2275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Фінансовий результат до оподаткування:</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2290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2 085</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2 004</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2295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-382</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-381</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Чистий фінансовий результат:</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1 703</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1 623</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2355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bl>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II. Сукупний дохід</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305EED">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аналогічний період попереднього року</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1 703</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1 623</w:t>
            </w:r>
          </w:p>
        </w:tc>
      </w:tr>
    </w:tbl>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III. Елементи операційних витрат</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305EED">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аналогічний період попереднього року</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248 458</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327 882</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22 747</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21 029</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4 982</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4 605</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8 022</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5 182</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272 214</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233 881</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556 423</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592 579</w:t>
            </w:r>
          </w:p>
        </w:tc>
      </w:tr>
    </w:tbl>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ІV. Розрахунок показників прибутковості акцій</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305EED">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аналогічний період попереднього року</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2 156</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2 156</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2 156</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2 156</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789,880000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752,780000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789,880000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752,780000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0,00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0,00</w:t>
            </w:r>
          </w:p>
        </w:tc>
      </w:tr>
    </w:tbl>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Примітки: Складено згiдно вимог ПСБО</w:t>
      </w:r>
    </w:p>
    <w:p w:rsidR="00305EED" w:rsidRDefault="00305EED">
      <w:pPr>
        <w:widowControl w:val="0"/>
        <w:autoSpaceDE w:val="0"/>
        <w:autoSpaceDN w:val="0"/>
        <w:adjustRightInd w:val="0"/>
        <w:jc w:val="both"/>
        <w:rPr>
          <w:rFonts w:ascii="Times New Roman CYR" w:hAnsi="Times New Roman CYR" w:cs="Times New Roman CYR"/>
          <w:sz w:val="22"/>
          <w:szCs w:val="22"/>
        </w:rPr>
      </w:pPr>
    </w:p>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Керівник</w:t>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t>Шалiмов В.I.</w:t>
      </w:r>
    </w:p>
    <w:p w:rsidR="00305EED" w:rsidRDefault="00305EED">
      <w:pPr>
        <w:widowControl w:val="0"/>
        <w:autoSpaceDE w:val="0"/>
        <w:autoSpaceDN w:val="0"/>
        <w:adjustRightInd w:val="0"/>
        <w:jc w:val="both"/>
        <w:rPr>
          <w:rFonts w:ascii="Times New Roman CYR" w:hAnsi="Times New Roman CYR" w:cs="Times New Roman CYR"/>
          <w:sz w:val="22"/>
          <w:szCs w:val="22"/>
        </w:rPr>
      </w:pPr>
    </w:p>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Головний бухгалтер</w:t>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t>Бойко К.С.</w:t>
      </w:r>
    </w:p>
    <w:p w:rsidR="00305EED" w:rsidRDefault="00305EED">
      <w:pPr>
        <w:widowControl w:val="0"/>
        <w:autoSpaceDE w:val="0"/>
        <w:autoSpaceDN w:val="0"/>
        <w:adjustRightInd w:val="0"/>
        <w:jc w:val="both"/>
        <w:rPr>
          <w:rFonts w:ascii="Times New Roman CYR" w:hAnsi="Times New Roman CYR" w:cs="Times New Roman CYR"/>
          <w:sz w:val="22"/>
          <w:szCs w:val="22"/>
        </w:rPr>
        <w:sectPr w:rsidR="00305EED">
          <w:pgSz w:w="12240" w:h="15840"/>
          <w:pgMar w:top="850" w:right="850" w:bottom="850" w:left="1400" w:header="708" w:footer="708" w:gutter="0"/>
          <w:cols w:space="720"/>
          <w:noEndnote/>
        </w:sectPr>
      </w:pPr>
    </w:p>
    <w:tbl>
      <w:tblPr>
        <w:tblW w:w="0" w:type="auto"/>
        <w:tblInd w:w="2" w:type="dxa"/>
        <w:tblLayout w:type="fixed"/>
        <w:tblLook w:val="0000"/>
      </w:tblPr>
      <w:tblGrid>
        <w:gridCol w:w="2160"/>
        <w:gridCol w:w="4490"/>
        <w:gridCol w:w="1990"/>
        <w:gridCol w:w="1360"/>
      </w:tblGrid>
      <w:tr w:rsidR="00305EED">
        <w:trPr>
          <w:trHeight w:val="200"/>
        </w:trPr>
        <w:tc>
          <w:tcPr>
            <w:tcW w:w="1360" w:type="dxa"/>
            <w:gridSpan w:val="4"/>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КОДИ</w:t>
            </w:r>
          </w:p>
        </w:tc>
      </w:tr>
      <w:tr w:rsidR="00305EED">
        <w:trPr>
          <w:trHeight w:val="200"/>
        </w:trPr>
        <w:tc>
          <w:tcPr>
            <w:tcW w:w="1990" w:type="dxa"/>
            <w:gridSpan w:val="3"/>
            <w:tcBorders>
              <w:top w:val="nil"/>
              <w:left w:val="nil"/>
              <w:bottom w:val="nil"/>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01.01.2021</w:t>
            </w:r>
          </w:p>
        </w:tc>
      </w:tr>
      <w:tr w:rsidR="00305EED">
        <w:tc>
          <w:tcPr>
            <w:tcW w:w="2160"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Підприємство</w:t>
            </w:r>
          </w:p>
        </w:tc>
        <w:tc>
          <w:tcPr>
            <w:tcW w:w="4490" w:type="dxa"/>
            <w:vMerge w:val="restart"/>
            <w:tcBorders>
              <w:top w:val="nil"/>
              <w:left w:val="nil"/>
              <w:bottom w:val="nil"/>
              <w:right w:val="nil"/>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ПРИВАТНЕ АКЦIОНЕРНЕ ТОВАРИСТВО "АГРОБУДМЕХАНIЗАЦIЯ"</w:t>
            </w:r>
          </w:p>
        </w:tc>
        <w:tc>
          <w:tcPr>
            <w:tcW w:w="1990" w:type="dxa"/>
            <w:tcBorders>
              <w:top w:val="nil"/>
              <w:left w:val="nil"/>
              <w:bottom w:val="nil"/>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13708491</w:t>
            </w:r>
          </w:p>
        </w:tc>
      </w:tr>
    </w:tbl>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rPr>
          <w:rFonts w:ascii="Times New Roman CYR" w:hAnsi="Times New Roman CYR" w:cs="Times New Roman CYR"/>
          <w:sz w:val="22"/>
          <w:szCs w:val="22"/>
        </w:rPr>
      </w:pP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Звіт про рух грошових коштів (за прямим методом)</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2020 рік</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Форма №3</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305EED">
        <w:trPr>
          <w:trHeight w:val="280"/>
        </w:trPr>
        <w:tc>
          <w:tcPr>
            <w:tcW w:w="1500" w:type="dxa"/>
            <w:gridSpan w:val="3"/>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sz w:val="22"/>
                <w:szCs w:val="22"/>
              </w:rPr>
            </w:pPr>
            <w:r>
              <w:rPr>
                <w:rFonts w:ascii="Times New Roman CYR" w:hAnsi="Times New Roman CYR" w:cs="Times New Roman CYR"/>
                <w:sz w:val="22"/>
                <w:szCs w:val="22"/>
              </w:rPr>
              <w:t>Код за ДКУД</w:t>
            </w:r>
          </w:p>
        </w:tc>
        <w:tc>
          <w:tcPr>
            <w:tcW w:w="1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right"/>
              <w:rPr>
                <w:rFonts w:ascii="Times New Roman CYR" w:hAnsi="Times New Roman CYR" w:cs="Times New Roman CYR"/>
                <w:sz w:val="22"/>
                <w:szCs w:val="22"/>
              </w:rPr>
            </w:pPr>
            <w:r>
              <w:rPr>
                <w:rFonts w:ascii="Times New Roman CYR" w:hAnsi="Times New Roman CYR" w:cs="Times New Roman CYR"/>
                <w:sz w:val="22"/>
                <w:szCs w:val="22"/>
              </w:rPr>
              <w:t>1801004</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right"/>
              <w:rPr>
                <w:rFonts w:ascii="Times New Roman CYR" w:hAnsi="Times New Roman CYR" w:cs="Times New Roman CYR"/>
                <w:sz w:val="22"/>
                <w:szCs w:val="22"/>
              </w:rPr>
            </w:pP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аналогічний період попереднього року</w:t>
            </w:r>
          </w:p>
        </w:tc>
      </w:tr>
      <w:tr w:rsidR="00305EED">
        <w:trPr>
          <w:trHeight w:val="200"/>
        </w:trPr>
        <w:tc>
          <w:tcPr>
            <w:tcW w:w="5850" w:type="dxa"/>
            <w:tcBorders>
              <w:top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645" w:type="dxa"/>
            <w:tcBorders>
              <w:top w:val="single" w:sz="6" w:space="0" w:color="auto"/>
              <w:left w:val="single" w:sz="6" w:space="0" w:color="auto"/>
              <w:bottom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I. Рух коштів у результаті операційної діяльності</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567 650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703 608</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3006</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3011</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3015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75 363</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30 013</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3020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1 485</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8 394</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3025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3035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3040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3045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3055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3095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4 964</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13 954</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( 548 081 )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( 620 904 )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( 16 985 )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( 16 609 )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( 5 061 )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( 4 727 )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3115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( 8 443 )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( 7 403 )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3116</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( 403 )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( 221 )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3117</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( 2 068 )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( 2 710 )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3118</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( 5 972 )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( 4 472 )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3135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( 54 269 )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( 72 022 )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3140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( 2 476 )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( 7 )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3145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3155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3190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( 4 029 )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( 12 684 )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3195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10 121</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21 613</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II. Рух коштів у результаті інвестиційної діяльності</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3215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1 223</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819</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3220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3225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3230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3235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3255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3260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( 13 257 )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( 10 006 )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3270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3275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3280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3290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3295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-12 034</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-9 187</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III. Рух коштів у результаті фінансової діяльності</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1 000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81 000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3340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3345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3350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( 1 000 )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( 81 000 )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3355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( 1 517 )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3360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3365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3370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3375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3390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( 0 )</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3395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-1 517</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3400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-3 430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12 426</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3405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20 639</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8 213</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3410</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58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3415</w:t>
            </w:r>
          </w:p>
        </w:tc>
        <w:tc>
          <w:tcPr>
            <w:tcW w:w="1729"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17 209</w:t>
            </w:r>
          </w:p>
        </w:tc>
        <w:tc>
          <w:tcPr>
            <w:tcW w:w="1645"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20 639</w:t>
            </w:r>
          </w:p>
        </w:tc>
      </w:tr>
    </w:tbl>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Примітки: Складено згiдно вимог ПСБО</w:t>
      </w:r>
    </w:p>
    <w:p w:rsidR="00305EED" w:rsidRDefault="00305EED">
      <w:pPr>
        <w:widowControl w:val="0"/>
        <w:autoSpaceDE w:val="0"/>
        <w:autoSpaceDN w:val="0"/>
        <w:adjustRightInd w:val="0"/>
        <w:jc w:val="both"/>
        <w:rPr>
          <w:rFonts w:ascii="Times New Roman CYR" w:hAnsi="Times New Roman CYR" w:cs="Times New Roman CYR"/>
          <w:sz w:val="22"/>
          <w:szCs w:val="22"/>
        </w:rPr>
      </w:pPr>
    </w:p>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Керівник</w:t>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t>Шалiмов В.I.</w:t>
      </w:r>
    </w:p>
    <w:p w:rsidR="00305EED" w:rsidRDefault="00305EED">
      <w:pPr>
        <w:widowControl w:val="0"/>
        <w:autoSpaceDE w:val="0"/>
        <w:autoSpaceDN w:val="0"/>
        <w:adjustRightInd w:val="0"/>
        <w:jc w:val="both"/>
        <w:rPr>
          <w:rFonts w:ascii="Times New Roman CYR" w:hAnsi="Times New Roman CYR" w:cs="Times New Roman CYR"/>
          <w:sz w:val="22"/>
          <w:szCs w:val="22"/>
        </w:rPr>
      </w:pPr>
    </w:p>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Головний бухгалтер</w:t>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t>Бойко К.С.</w:t>
      </w:r>
    </w:p>
    <w:p w:rsidR="00305EED" w:rsidRDefault="00305EED">
      <w:pPr>
        <w:widowControl w:val="0"/>
        <w:autoSpaceDE w:val="0"/>
        <w:autoSpaceDN w:val="0"/>
        <w:adjustRightInd w:val="0"/>
        <w:jc w:val="both"/>
        <w:rPr>
          <w:rFonts w:ascii="Times New Roman CYR" w:hAnsi="Times New Roman CYR" w:cs="Times New Roman CYR"/>
          <w:sz w:val="22"/>
          <w:szCs w:val="22"/>
        </w:rPr>
        <w:sectPr w:rsidR="00305EED">
          <w:pgSz w:w="12240" w:h="15840"/>
          <w:pgMar w:top="850" w:right="850" w:bottom="850" w:left="1400" w:header="708" w:footer="708" w:gutter="0"/>
          <w:cols w:space="720"/>
          <w:noEndnote/>
        </w:sectPr>
      </w:pPr>
    </w:p>
    <w:tbl>
      <w:tblPr>
        <w:tblW w:w="0" w:type="auto"/>
        <w:tblInd w:w="2" w:type="dxa"/>
        <w:tblLayout w:type="fixed"/>
        <w:tblLook w:val="0000"/>
      </w:tblPr>
      <w:tblGrid>
        <w:gridCol w:w="2240"/>
        <w:gridCol w:w="5500"/>
        <w:gridCol w:w="1800"/>
        <w:gridCol w:w="2000"/>
      </w:tblGrid>
      <w:tr w:rsidR="00305EED">
        <w:trPr>
          <w:trHeight w:val="298"/>
        </w:trPr>
        <w:tc>
          <w:tcPr>
            <w:tcW w:w="2000" w:type="dxa"/>
            <w:gridSpan w:val="4"/>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КОДИ</w:t>
            </w:r>
          </w:p>
        </w:tc>
      </w:tr>
      <w:tr w:rsidR="00305EED">
        <w:trPr>
          <w:trHeight w:val="298"/>
        </w:trPr>
        <w:tc>
          <w:tcPr>
            <w:tcW w:w="1800" w:type="dxa"/>
            <w:gridSpan w:val="3"/>
            <w:tcBorders>
              <w:top w:val="nil"/>
              <w:left w:val="nil"/>
              <w:bottom w:val="nil"/>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01.01.2021</w:t>
            </w:r>
          </w:p>
        </w:tc>
      </w:tr>
      <w:tr w:rsidR="00305EED">
        <w:tc>
          <w:tcPr>
            <w:tcW w:w="2240" w:type="dxa"/>
            <w:tcBorders>
              <w:top w:val="nil"/>
              <w:left w:val="nil"/>
              <w:bottom w:val="nil"/>
              <w:right w:val="nil"/>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Підприємство</w:t>
            </w:r>
          </w:p>
        </w:tc>
        <w:tc>
          <w:tcPr>
            <w:tcW w:w="5500" w:type="dxa"/>
            <w:vMerge w:val="restart"/>
            <w:tcBorders>
              <w:top w:val="nil"/>
              <w:left w:val="nil"/>
              <w:bottom w:val="nil"/>
              <w:right w:val="nil"/>
            </w:tcBorders>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ПРИВАТНЕ АКЦIОНЕРНЕ ТОВАРИСТВО "АГРОБУДМЕХАНIЗАЦIЯ"</w:t>
            </w:r>
          </w:p>
        </w:tc>
        <w:tc>
          <w:tcPr>
            <w:tcW w:w="1800" w:type="dxa"/>
            <w:tcBorders>
              <w:top w:val="nil"/>
              <w:left w:val="nil"/>
              <w:bottom w:val="nil"/>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13708491</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Звіт про власний капітал</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 2020 рік</w:t>
      </w:r>
    </w:p>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Форма №4</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3050"/>
        <w:gridCol w:w="1250"/>
        <w:gridCol w:w="1100"/>
        <w:gridCol w:w="1350"/>
        <w:gridCol w:w="1300"/>
        <w:gridCol w:w="1200"/>
        <w:gridCol w:w="1300"/>
        <w:gridCol w:w="1500"/>
        <w:gridCol w:w="1300"/>
        <w:gridCol w:w="1250"/>
      </w:tblGrid>
      <w:tr w:rsidR="00305EED">
        <w:trPr>
          <w:trHeight w:val="280"/>
        </w:trPr>
        <w:tc>
          <w:tcPr>
            <w:tcW w:w="1800" w:type="dxa"/>
            <w:gridSpan w:val="8"/>
            <w:tcBorders>
              <w:top w:val="nil"/>
              <w:left w:val="nil"/>
              <w:bottom w:val="nil"/>
              <w:right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sz w:val="22"/>
                <w:szCs w:val="22"/>
              </w:rPr>
            </w:pPr>
            <w:r>
              <w:rPr>
                <w:rFonts w:ascii="Times New Roman CYR" w:hAnsi="Times New Roman CYR" w:cs="Times New Roman CYR"/>
                <w:sz w:val="22"/>
                <w:szCs w:val="22"/>
              </w:rPr>
              <w:t>Код за ДКУД</w:t>
            </w:r>
          </w:p>
        </w:tc>
        <w:tc>
          <w:tcPr>
            <w:tcW w:w="1300" w:type="dxa"/>
            <w:gridSpan w:val="2"/>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right"/>
              <w:rPr>
                <w:rFonts w:ascii="Times New Roman CYR" w:hAnsi="Times New Roman CYR" w:cs="Times New Roman CYR"/>
                <w:sz w:val="22"/>
                <w:szCs w:val="22"/>
              </w:rPr>
            </w:pPr>
            <w:r>
              <w:rPr>
                <w:rFonts w:ascii="Times New Roman CYR" w:hAnsi="Times New Roman CYR" w:cs="Times New Roman CYR"/>
                <w:sz w:val="22"/>
                <w:szCs w:val="22"/>
              </w:rPr>
              <w:t>1801005</w:t>
            </w:r>
          </w:p>
        </w:tc>
      </w:tr>
      <w:tr w:rsidR="00305EED">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Нерозподілений прибуток (непокритий збиток)</w:t>
            </w:r>
          </w:p>
        </w:tc>
        <w:tc>
          <w:tcPr>
            <w:tcW w:w="15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Неоплачений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Всього</w:t>
            </w:r>
          </w:p>
        </w:tc>
      </w:tr>
      <w:tr w:rsidR="00305EED">
        <w:trPr>
          <w:trHeight w:val="200"/>
        </w:trPr>
        <w:tc>
          <w:tcPr>
            <w:tcW w:w="3050" w:type="dxa"/>
            <w:tcBorders>
              <w:top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7</w:t>
            </w:r>
          </w:p>
        </w:tc>
        <w:tc>
          <w:tcPr>
            <w:tcW w:w="1500"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9</w:t>
            </w:r>
          </w:p>
        </w:tc>
        <w:tc>
          <w:tcPr>
            <w:tcW w:w="1250" w:type="dxa"/>
            <w:tcBorders>
              <w:top w:val="single" w:sz="6" w:space="0" w:color="auto"/>
              <w:left w:val="single" w:sz="6" w:space="0" w:color="auto"/>
              <w:bottom w:val="single" w:sz="6" w:space="0" w:color="auto"/>
            </w:tcBorders>
            <w:shd w:val="clear" w:color="auto" w:fill="E6E6E6"/>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b/>
                <w:bCs/>
                <w:sz w:val="22"/>
                <w:szCs w:val="22"/>
              </w:rPr>
            </w:pPr>
            <w:r>
              <w:rPr>
                <w:rFonts w:ascii="Times New Roman CYR" w:hAnsi="Times New Roman CYR" w:cs="Times New Roman CYR"/>
                <w:b/>
                <w:bCs/>
                <w:sz w:val="22"/>
                <w:szCs w:val="22"/>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4000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332</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4 552</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6 439</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11 745</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Коригування:</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4005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4010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4090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4095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332</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4 552</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6 439</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11 745</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4100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1 703</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1 703</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4110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4111</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4112</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4113</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4114</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4116</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Розподіл прибутку: </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4200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-1 623</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-1 623</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4205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4210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4215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Внески учасників: </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4240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4245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Вилучення капіталу: </w:t>
            </w:r>
          </w:p>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4260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4265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4270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4275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4280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4290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sz w:val="22"/>
                <w:szCs w:val="22"/>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4291</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4295</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80</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80</w:t>
            </w:r>
          </w:p>
        </w:tc>
      </w:tr>
      <w:tr w:rsidR="00305EED">
        <w:trPr>
          <w:trHeight w:val="200"/>
        </w:trPr>
        <w:tc>
          <w:tcPr>
            <w:tcW w:w="30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rPr>
                <w:rFonts w:ascii="Times New Roman CYR" w:hAnsi="Times New Roman CYR" w:cs="Times New Roman CYR"/>
                <w:sz w:val="22"/>
                <w:szCs w:val="22"/>
              </w:rPr>
            </w:pPr>
            <w:r>
              <w:rPr>
                <w:rFonts w:ascii="Times New Roman CYR" w:hAnsi="Times New Roman CYR" w:cs="Times New Roman CYR"/>
                <w:b/>
                <w:bCs/>
                <w:sz w:val="22"/>
                <w:szCs w:val="22"/>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4300</w:t>
            </w:r>
          </w:p>
        </w:tc>
        <w:tc>
          <w:tcPr>
            <w:tcW w:w="11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422</w:t>
            </w:r>
          </w:p>
        </w:tc>
        <w:tc>
          <w:tcPr>
            <w:tcW w:w="13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332</w:t>
            </w:r>
          </w:p>
        </w:tc>
        <w:tc>
          <w:tcPr>
            <w:tcW w:w="12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4 552</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6 519</w:t>
            </w:r>
          </w:p>
        </w:tc>
        <w:tc>
          <w:tcPr>
            <w:tcW w:w="15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0</w:t>
            </w:r>
          </w:p>
        </w:tc>
        <w:tc>
          <w:tcPr>
            <w:tcW w:w="125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11 825</w:t>
            </w:r>
          </w:p>
        </w:tc>
      </w:tr>
    </w:tbl>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Примітки: Складено згiдно вимог ПСБО</w:t>
      </w:r>
    </w:p>
    <w:p w:rsidR="00305EED" w:rsidRDefault="00305EED">
      <w:pPr>
        <w:widowControl w:val="0"/>
        <w:autoSpaceDE w:val="0"/>
        <w:autoSpaceDN w:val="0"/>
        <w:adjustRightInd w:val="0"/>
        <w:jc w:val="both"/>
        <w:rPr>
          <w:rFonts w:ascii="Times New Roman CYR" w:hAnsi="Times New Roman CYR" w:cs="Times New Roman CYR"/>
          <w:sz w:val="22"/>
          <w:szCs w:val="22"/>
        </w:rPr>
      </w:pPr>
    </w:p>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Керівник</w:t>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t>Шалiмов В.I.</w:t>
      </w:r>
    </w:p>
    <w:p w:rsidR="00305EED" w:rsidRDefault="00305EED">
      <w:pPr>
        <w:widowControl w:val="0"/>
        <w:autoSpaceDE w:val="0"/>
        <w:autoSpaceDN w:val="0"/>
        <w:adjustRightInd w:val="0"/>
        <w:jc w:val="both"/>
        <w:rPr>
          <w:rFonts w:ascii="Times New Roman CYR" w:hAnsi="Times New Roman CYR" w:cs="Times New Roman CYR"/>
          <w:sz w:val="22"/>
          <w:szCs w:val="22"/>
        </w:rPr>
      </w:pPr>
    </w:p>
    <w:p w:rsidR="00305EED" w:rsidRDefault="00305EED">
      <w:pPr>
        <w:widowControl w:val="0"/>
        <w:autoSpaceDE w:val="0"/>
        <w:autoSpaceDN w:val="0"/>
        <w:adjustRightInd w:val="0"/>
        <w:jc w:val="both"/>
        <w:rPr>
          <w:rFonts w:ascii="Times New Roman CYR" w:hAnsi="Times New Roman CYR" w:cs="Times New Roman CYR"/>
          <w:sz w:val="22"/>
          <w:szCs w:val="22"/>
        </w:rPr>
      </w:pPr>
      <w:r>
        <w:rPr>
          <w:rFonts w:ascii="Times New Roman CYR" w:hAnsi="Times New Roman CYR" w:cs="Times New Roman CYR"/>
          <w:sz w:val="22"/>
          <w:szCs w:val="22"/>
        </w:rPr>
        <w:t>Головний бухгалтер</w:t>
      </w:r>
      <w:r>
        <w:rPr>
          <w:rFonts w:ascii="Times New Roman CYR" w:hAnsi="Times New Roman CYR" w:cs="Times New Roman CYR"/>
          <w:sz w:val="22"/>
          <w:szCs w:val="22"/>
        </w:rPr>
        <w:tab/>
      </w:r>
      <w:r>
        <w:rPr>
          <w:rFonts w:ascii="Times New Roman CYR" w:hAnsi="Times New Roman CYR" w:cs="Times New Roman CYR"/>
          <w:sz w:val="22"/>
          <w:szCs w:val="22"/>
        </w:rPr>
        <w:tab/>
      </w:r>
      <w:r>
        <w:rPr>
          <w:rFonts w:ascii="Times New Roman CYR" w:hAnsi="Times New Roman CYR" w:cs="Times New Roman CYR"/>
          <w:sz w:val="22"/>
          <w:szCs w:val="22"/>
        </w:rPr>
        <w:tab/>
        <w:t>Бойко К.С.</w:t>
      </w:r>
    </w:p>
    <w:p w:rsidR="00305EED" w:rsidRDefault="00305EED">
      <w:pPr>
        <w:widowControl w:val="0"/>
        <w:autoSpaceDE w:val="0"/>
        <w:autoSpaceDN w:val="0"/>
        <w:adjustRightInd w:val="0"/>
        <w:jc w:val="both"/>
        <w:rPr>
          <w:rFonts w:ascii="Times New Roman CYR" w:hAnsi="Times New Roman CYR" w:cs="Times New Roman CYR"/>
          <w:sz w:val="22"/>
          <w:szCs w:val="22"/>
        </w:rPr>
        <w:sectPr w:rsidR="00305EED">
          <w:pgSz w:w="16838" w:h="11906" w:orient="landscape"/>
          <w:pgMar w:top="850" w:right="850" w:bottom="850" w:left="1400" w:header="708" w:footer="708" w:gutter="0"/>
          <w:cols w:space="720"/>
          <w:noEndnote/>
        </w:sectPr>
      </w:pPr>
    </w:p>
    <w:p w:rsidR="00305EED" w:rsidRDefault="00305EED">
      <w:pPr>
        <w:widowControl w:val="0"/>
        <w:autoSpaceDE w:val="0"/>
        <w:autoSpaceDN w:val="0"/>
        <w:adjustRightInd w:val="0"/>
        <w:jc w:val="both"/>
        <w:rPr>
          <w:rFonts w:ascii="Times New Roman CYR" w:hAnsi="Times New Roman CYR" w:cs="Times New Roman CYR"/>
          <w:sz w:val="22"/>
          <w:szCs w:val="22"/>
        </w:rPr>
        <w:sectPr w:rsidR="00305EED">
          <w:pgSz w:w="16838" w:h="11906" w:orient="landscape"/>
          <w:pgMar w:top="850" w:right="850" w:bottom="850" w:left="1400" w:header="708" w:footer="708" w:gutter="0"/>
          <w:cols w:space="720"/>
          <w:noEndnote/>
        </w:sect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XV.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700"/>
        <w:gridCol w:w="5300"/>
        <w:gridCol w:w="4000"/>
      </w:tblGrid>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1</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Найменування аудиторської фірми (П.І.Б. аудитора - фізичної особи - підприємця)</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Приватне пiдприємство "IНФОРМАУДИТ"</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Розділ Реєстру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3 - суб'єкти аудиторської діяльності, які мають право проводити обов'язковий аудит фінансової звітності</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 (реєстраційний номер облікової картки платника податків - фізичної особи)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31058616</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Місцезнаходження аудиторської фірми, аудитора</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03057, УКРАЇНА, Київська обл., д/н р-н, м. Київ, вул. Смоленська, 6, кiмната 101</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Номер реєстрації аудиторської фірми (аудитора)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4712</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Дата і номер рішення про проходження перевірки системи контролю якості аудиторських послуг (за наявності)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 xml:space="preserve">номер: д/н, дата: </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7</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з 01.01.2020 по 31.12.2020</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Думка аудитора (01 - немодифікована; 02 - із застереженням; 03 - негативна; 04 - відмова від висловлення думки)</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02 - із застереженням</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Пояснювальний параграф (за наявності)</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номер: 21/26, дата: 22.03.2021</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11</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Дата початку та дата закінчення аудиту</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дата початку: 22.03.2021, дата закінчення: 22.04.2021</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12</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Дата аудиторського звіту</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22.04.2021</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13</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Розмір винагороди за проведення річного аудиту, грн</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42 825,00</w:t>
            </w:r>
          </w:p>
        </w:tc>
      </w:tr>
      <w:tr w:rsidR="00305EED">
        <w:trPr>
          <w:trHeight w:val="200"/>
        </w:trPr>
        <w:tc>
          <w:tcPr>
            <w:tcW w:w="70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14</w:t>
            </w:r>
          </w:p>
        </w:tc>
        <w:tc>
          <w:tcPr>
            <w:tcW w:w="530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Текст аудиторського звіту</w:t>
            </w:r>
          </w:p>
        </w:tc>
        <w:tc>
          <w:tcPr>
            <w:tcW w:w="40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rPr>
            </w:pPr>
          </w:p>
        </w:tc>
      </w:tr>
      <w:tr w:rsidR="00305EED">
        <w:trPr>
          <w:trHeight w:val="200"/>
        </w:trPr>
        <w:tc>
          <w:tcPr>
            <w:tcW w:w="10000" w:type="dxa"/>
            <w:gridSpan w:val="3"/>
            <w:tcBorders>
              <w:top w:val="single" w:sz="6" w:space="0" w:color="auto"/>
              <w:bottom w:val="single" w:sz="6" w:space="0" w:color="auto"/>
            </w:tcBorders>
          </w:tcPr>
          <w:p w:rsidR="00305EED" w:rsidRDefault="00305EED">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Приватне пiдприємство "IНФОРМАУДИТ" включено до Реєстру аудиторiв та суб'єктiв аудиторської дiяльностi 31.10.2018 року за № 4712,                           03057 м. Київ, вул. Смоленська, 6, кiмната 101 ЄДРПОУ 31058616   ЗВIТ НЕЗАЛЕЖНОГО АУДИТОРА  щодо фiнансової звiтностi  та надання обгрунтованої впевненостi щодо Звiту про корпоративне управлiння Приватного акцiонерного товариства  "АГРОБУДМЕХАНIЗАЦIЯ" за 2020 рiк.    Адресат:  Акцiонерам, управлiнському персоналу Приватного акцiонерного товариства  "АГРОБУДМЕХАНIЗАЦIЯ"  Нацiональнiй Комiсiї з цiнних паперiв та фондового ринку України </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 xml:space="preserve">     </w:t>
            </w:r>
            <w:r>
              <w:rPr>
                <w:rFonts w:ascii="Times New Roman CYR" w:hAnsi="Times New Roman CYR" w:cs="Times New Roman CYR"/>
              </w:rPr>
              <w:tab/>
            </w:r>
            <w:r>
              <w:rPr>
                <w:rFonts w:ascii="Times New Roman CYR" w:hAnsi="Times New Roman CYR" w:cs="Times New Roman CYR"/>
              </w:rPr>
              <w:tab/>
              <w:t xml:space="preserve"> I. ЗВIТ ЩОДО ФIНАНСОВОЇ ЗВIТНОСТI  1.1.</w:t>
            </w:r>
            <w:r>
              <w:rPr>
                <w:rFonts w:ascii="Times New Roman CYR" w:hAnsi="Times New Roman CYR" w:cs="Times New Roman CYR"/>
              </w:rPr>
              <w:tab/>
              <w:t>Думка iз застереженням  Ми провели аудит фiнансової звiтностi Приватного акцiонерного товариства "АГРОБУДМЕХАНIЗАЦIЯ" станом на 31.12.2020 р., яка включає: Баланс (Звiт про фiнансовий стан) станом на 31.12.2020 р. (Форма №1), Звiт про фiнансовi результати (Звiт про сукупний дохiд) за 2020 рiк (Форма № 2), Звiт про рух грошових коштiв за 2020 рiк (форма № 3), Звiт про власний капiтал (Звiт про змiни у власному капiталi) за 2020 рiк (форма № 4) та Примiтки до фiнансової звiтностi за 2020 рiк (форма № 5). Фiнансова звiтнiсть товариства пiдготовлена згiдно з вимогами  Положень стандартiв бухгалтерського облiку (надалi - П(С)БО).  На нашу думку за винятком впливу питань, про якi йдеться у параграфi "Пiдстава для висловлення думки iз застереженням", рiчна фiнансова звiтнiсть Приватного акцiонерного товариства "АГРОБУДМЕХАНIЗАЦIЯ", що додається, складена в усiх суттєвих аспектах вiдповiдно до концептуальної основи Нацiональних положень (стандартiв) бухгалтерського облiку (П(С)БО) та облiкової полiтики Товариства, та справедливо й достовiрно вiдображає його фiнансовий стан, а також результати його фiнансової дiяльностi, рух грошових коштiв та власного капiталу за  рiк що закiнчився зазначеною датою.      1.2.</w:t>
            </w:r>
            <w:r>
              <w:rPr>
                <w:rFonts w:ascii="Times New Roman CYR" w:hAnsi="Times New Roman CYR" w:cs="Times New Roman CYR"/>
              </w:rPr>
              <w:tab/>
              <w:t>Пiдстава для висловлення думки iз застереженням  Згiдно вимог МСА 705 "Модифiкацiя думки у звiтi незалежного аудитора" думка iз застереженням видається у випадках, коли аудитори не в змозi надати беззастережний висновок, оскiльки iснують певнi обмеження.  На балансi товариства облiковуються об'єкти нематерiальних активiв та основних засобiв, вартiсть яких повнiстю амортизована. На нашу думку, нематерiальнi активи повиннi бути списанi з балансу товариства у вiдповiдностi до п. 34 П(С)БО 8 або переоцiненi у вiдповiдностi до п. 19 П(С)БО 8. Вартiсть зношених основних засобiв повинна бути списана з балансу товариства у вiдповiдностi до п. 33 П(С)БО 7 або переоцiнена у вiдповiдностi до п. 16 П(С)БО 7.   Станом на 31.12.2020 р. на балансi товариства облiковуються довгостроковi фiнансовi iнвестицiї пов'язаним особам вартiстю 117 тис. грн., справедлива вартiсть яких в 2020 роцi не визначалась, у зв'язку з тим, що облiковою полiтикою товариства облiк фiнансових iнвестицiй не встановлений.  Аудитори вiдмiчають, що у вiдповiдностi до П(С)БО 12 фiнансовi iнвестицiї (крiм iнвестицiй, що утримуються пiдприємством до їх погашення або облiковуються за методом участi в капiталi) на дату балансу вiдображаються за справедливою вартiстю. Сума збiльшення або зменшення балансової вартостi фiнансових iнвестицiй на дату балансу (крiм iнвестицiй, що облiковуються за методом участi в капiталi) вiдображається у складi iнших доходiв або iнших витрат вiдповiдно.  Фiнансовi iнвестицiї, справедливу вартiсть яких достовiрно визначити неможливо, вiдображаються на дату балансу за їх собiвартiстю з урахуванням зменшення корисностi iнвестицiї. Втрати вiд зменшення корисностi фiнансових iнвестицiй вiдображаються у складi iнших витрат з одночасним зменшенням балансової вартостi фiнансових iнвестицiй.  Товариство не створювало забезпечення на виплату вiдпусток в розмiрi 5% вiд фонду оплати працi за звiтний перiод, як це передбачено в наказi про облiкову полiтику.  У складi iншої дебiторської заборгованостi товариством облiковується прострочена заборгованiсть працiвникiв за одержаними позиками в сумi 73 тис. грн.  Аудитори не отримали достатньої впевненостi, щодо термiну погашення цiєї заборгованостi. Крiм того, несвоєчаснiсть погашення дебiторської заборгованостi впливає на склад витрат та структуру власного капiталу товариства.   Ми не отримали зовнiшнi пiдтвердження дебiторської заборгованостi за товари, роботи, послуги та за виданими авансами на загальну суму 81909 тис. грн. та поточної кредиторської заборгованостi за одержаними авансами та iншими поточними зобов'язаннями на загальну суму 150380 тис. грн., вiдображених на балансi товариства станом на 31.12.2020 року. Наша думка щодо стану та склад цих заборгованостей формувалась на пiдставi даних облiку та актiв звiрки взаєморозрахункiв  з контрагентами. Тому, ми не мали змоги визначити чи могли бути потрiбними коригування заборгованостей станом на 31 грудня 2020 року. Внаслiдок можливого впливу цих питань на показники фiнансової звiтностi висновок було модифiковано.             1.3. Основнi вiдомостi про Товариство  Повна назва товариства</w:t>
            </w:r>
            <w:r>
              <w:rPr>
                <w:rFonts w:ascii="Times New Roman CYR" w:hAnsi="Times New Roman CYR" w:cs="Times New Roman CYR"/>
              </w:rPr>
              <w:tab/>
              <w:t>Приватне акцiонерне товариство "АГРОБУДМЕХАНIЗАЦIЯ" Код за ЄДРПОУ</w:t>
            </w:r>
            <w:r>
              <w:rPr>
                <w:rFonts w:ascii="Times New Roman CYR" w:hAnsi="Times New Roman CYR" w:cs="Times New Roman CYR"/>
              </w:rPr>
              <w:tab/>
              <w:t>13708491 Мiсцезнаходження:</w:t>
            </w:r>
            <w:r>
              <w:rPr>
                <w:rFonts w:ascii="Times New Roman CYR" w:hAnsi="Times New Roman CYR" w:cs="Times New Roman CYR"/>
              </w:rPr>
              <w:tab/>
              <w:t>08304, Київська обл., мiсто Бориспiль, вулиця Привокзальна, будинок 76-А Номер та дата державної реєстрацiї</w:t>
            </w:r>
            <w:r>
              <w:rPr>
                <w:rFonts w:ascii="Times New Roman CYR" w:hAnsi="Times New Roman CYR" w:cs="Times New Roman CYR"/>
              </w:rPr>
              <w:tab/>
              <w:t>№ 1 354 120 0000 000203 Дата державної реєстрацiї: 14.05.1996 р. Дата запису: 28.10.2004 р. Мiсцезнаходження реєстрацiйної справи</w:t>
            </w:r>
            <w:r>
              <w:rPr>
                <w:rFonts w:ascii="Times New Roman CYR" w:hAnsi="Times New Roman CYR" w:cs="Times New Roman CYR"/>
              </w:rPr>
              <w:tab/>
              <w:t>Бориспiльська районна державна адмiнiстрацiя Київської областi КВЕД</w:t>
            </w:r>
            <w:r>
              <w:rPr>
                <w:rFonts w:ascii="Times New Roman CYR" w:hAnsi="Times New Roman CYR" w:cs="Times New Roman CYR"/>
              </w:rPr>
              <w:tab/>
              <w:t xml:space="preserve"> 41.20 Будiвництво житлових i нежитлових будiвель (основний)            1.4. Припущення про безперервнiсть дiяльностi            Припущення про безперервнiсть господарської дiяльностi товариства, розглядається аудитом у вiдповiдностi до МСА 570 "Безперервнiсть" як така, що продовжуватиме свою дiяльнiсть у близькому майбутньому, не маючи нi намiру, нi потреби лiквiдуватися або припиняти її. Це базується на судженi аудитора, а також на даних бухгалтерського облiку товариства та проведених бесiд (наданих запитiв) управлiнському персоналу по даному питанню.          Не змiнюючи нашої думки стосовно фiнансової звiтностi, ми звертаємо увагу на вплив пандемiї СOVID-19 та запровадження карантинних та обмежувальних заходiв на дiяльнiсть товариства в майбутньому, його фiнансовий стан та економiчнi показники, а також зростаючу невизначенiсть, пов'язану iз змiною економiчної ситуацiї та песимiстичними прогнозами розвитку свiтової та нацiональної економiки. При цьому вважаємо, що управлiнський персонал вiдповiдно оцiнює припущення про безперервнiсть дiяльностi.            1.5. Основа для думки             Ми провели аудит вiдповiдно до Мiжнародних стандартiв контролю якостi, аудиту, огляду, iншого надання впевненостi та супутнiх послуг, виданих Радою з Мiжнародних стандартiв аудиту та надання впевненостi (РМСФНВ), видання 2016-2017 рокiв, що затвердженi для обов'язкового застосування при виконаннi завдань в якостi нацiональних стандартiв аудиту рiшенням Аудиторської падати України (далi - АПУ) №361 вiд 06.08.2018 р. (надалi - МСА) Цi стандарти вимагають, щоб ми дотримувались норм професiйної етики та спланували i провели аудиторську перевiрку таким чином, щоб отримати достатню впевненiсть у тому, що фiнансова звiтнiсть не мiстить суттєвих помилок.  Аудиторський висновок було пiдготовлено вiдповiдно до вимог Мiжнародних стандартiв аудиту, надання впевненостi та етики, зокрема Мiжнародних стандартiв аудиту 700, 701, 705, 720. Планування i проведення аудиту було спрямоване на одержання розумних пiдтверджень щодо вiдсутностi у фiнансовiй звiтностi суттєвих помилок. Дослiдження здiйснювалось шляхом тестування доказiв на обгрунтування сум та iнформацiї, розкритих у фiнансовiй звiтностi, а також оцiнка вiдповiдностi застосованих принципiв облiку нормативним вимогам, щодо органiзацiї бухгалтерського облiку i звiтностi в Українi, чинним протягом перiоду перевiрки. Нашу вiдповiдальнiсть  згiдно з цими стандартами викладено в роздiлi "Вiдповiдальнiсть аудитора за аудит фiнансової звiтностi" цього аудиторського звiту.           При виконаннi завдання аудитор дотримувався вимог Кодексу етики професiйних бухгалтерiв Ради з Мiжнародних стандартiв етики професiйних бухгалтерiв (РМСЕПБ) та етичних принципiв, якi визначають професiйну вiдповiдальнiсть аудитора, а також керувався вимогами Закону України "Про аудит фiнансової звiтностi та аудиторську дiяльнiсть" вiд 21.12.2017 р. № 2258-VIII, Ми вважаємо, що отримали достатнi та вiдповiднi аудиторськi докази для висловлення нашої думки.           1.6. Ключовi питання аудиту  Ключовi питання аудиту - це питання, якi, на наше професiйне судження, були найбiльш значущими пiд час нашого аудиту фiнансової звiтностi за поточний перiод. Цi питання розглядались у контекстi нашого аудиту фiнансової звiтностi в цiлому та враховувались при формуваннi думки щодо неї, при цьому ми не висловлюємо окремої думки щодо цих питань.         Ми визначили, що немає ключових питань аудиту, iнформацiю щодо яких слiд надати в нашому звiтi.           1.7. Iнша iнформацiя           Управлiнський персонал Приватного акцiонерного товариства "АГРОБУДМЕХАНIЗАЦIЯ" несе вiдповiдальнiсть за iншу iнформацiю, що подається до НКЦПФР.            Наша думка щодо фiнансової звiтностi не поширюється на iншу iнформацiю та ми не робимо висновок з будь-яким рiвнем впевненостi щодо цiєї iншої iнформацiї.            У зв'язку з нашим аудитом фiнансової звiтностi нашою вiдповiдальнiстю є ознайомитися з iншою iнформацiєю, зазначеною вище, якщо вона буде нам надана, та, при цьому, розглянути, чи iснує суттєва невiдповiднiсть мiж iншою iнформацiєю та фiнансовою звiтнiстю або нашими знаннями, отриманими пiд час аудиту, або чи ця iнформацiя має вигляд такої, що мiстить суттєве викривлення.            Якщо на основi проведеної нами роботи стосовно iншої iнформацiї, отриманої до дати звiту аудитора, ми доходимо висновку, що iснує суттєве викривлення цiєї iншої iнформацiї, ми зобов'язанi повiдомити про цей факт.            Ми не виявили таких фактiв стосовно iншої iнформацiї, якi б необхiдно було включити до цього звiту.             1.8. Вiдповiдальнiсть управлiнського персоналу та тих, кого надiлено найвищими повноваженнями, за фiнансову звiтнiсть               Управлiнський персонал несе вiдповiдальнiсть за пiдготовку та достовiрне  подання фiнансової звiтностi вiдповiдно до Нацiональних положень (стандартiв) бухгалтерського облiку та Закону України "Про бухгалтерський облiк та фiнансову звiтнiсть в Українi".            Управлiнський персонал визнає i розумiє вiдповiдальнiсть за: складання фiнансової звiтностi  вiдповiдно до застосовної концептуальної основи фiнансової звiтностi  та за таку систему внутрiшнього контролю, яку управлiнський персонал визначає потрiбною для того, щоб забезпечити складання фiнансової звiтностi, що не мiстить суттєвих викривлень внаслiдок шахрайства або помилки.   Також при складаннi фiнансової звiтностi управлiнський персонал несе вiдповiдальнiсть за оцiнку здатностi Товариства продовжувати свою дiяльнiсть на безперервнiй основi, розкриваючи, де це застосовано, питання, що стосуються безперервностi дiяльностi, та використовуючи припущення про безперервнiсть дiяльностi як основи для бухгалтерського облiку, крiм випадкiв, якщо управлiнський персонал або планує лiквiдувати компанiю чи припинити дiяльнiсть, або не має iнших реальних альтернатив цьому.              Пiсля пiдписання i до офiцiйного оприлюднення фiнансової звiтностi Товариства, вiдповiдальнiсть за iнформування про подальшi подiї, якi впливають на достовiрнiсть звiтностi, несе керiвництво акцiонерного товариства.  Керiвництво несе вiдповiдальнiсть за достовiрнiсть наданої iнформацiї та вихiдних даних, за поточнi залишки на рахунках бухгалтерського облiку, за правомочнiсть (легiтимнiсть, законнiсть) здiйснюваних господарських операцiй, за доказовiсть, повноту та юридичну силу первинних облiкових документiв, за методологiю та органiзацiю ведення бухгалтерського та податкового облiкiв, за управлiнськi рiшення, договiрне забезпечення та iншу адмiнiстративну документацiю.            1.9. Вiдповiдальнiсть аудитора за аудит фiнансової звiтностi            Нашими цiлями є отримання обгрунтованої впевненостi, що фiнансова звiтнiсть у цiлому не мiстить суттєвого викривлення внаслiдок шахрайства або помилки. Обгрунтована впевненiсть є високим рiвнем впевненостi, проте не гарантує, що аудит, проведений вiдповiдно до МСА, завжди виявить суттєве викривлення, якщо воно iснує. Викривлення можуть бути результатом шахрайства або помилки; вони вважаються суттєвими, якщо окремо або в сукупностi, як обгрунтовано очiкується, вони можуть впливати на економiчнi рiшення користувачiв, що приймаються на основi цiєї фiнансової звiтностi.             Виконуючи аудит вiдповiдно до вимог МСА, ми використовуємо професiйне судження та професiйний скептицизм протягом усього завдання з аудиту.              Крiм того, ми:         -    iдентифiкуємо та оцiнюємо ризики суттєвого викривлення фiнансової звiтностi внаслiдок шахрайства чи помилки, розробляємо й виконуємо аудиторськi процедури у вiдповiдь на цi ризики, а також отримуємо аудиторськi докази, що є достатнiми та прийнятними для використання їх як основи для нашої думки. Ризик невиявлення суттєвого викривлення внаслiдок шахрайства є вищим, нiж для викривлення внаслiдок помилки, оскiльки шахрайство може включати змову, пiдробку, навмиснi пропуски, неправильнi твердження або нехтування заходами внутрiшнього контролю; -</w:t>
            </w:r>
            <w:r>
              <w:rPr>
                <w:rFonts w:ascii="Times New Roman CYR" w:hAnsi="Times New Roman CYR" w:cs="Times New Roman CYR"/>
              </w:rPr>
              <w:tab/>
              <w:t xml:space="preserve"> отримуємо розумiння заходiв внутрiшнього контролю, що стосуються аудиту, для розробки аудиторських процедур, якi б вiдповiдали обставинам, а не для висловлення думки щодо ефективностi системи внутрiшнього контролю;  -</w:t>
            </w:r>
            <w:r>
              <w:rPr>
                <w:rFonts w:ascii="Times New Roman CYR" w:hAnsi="Times New Roman CYR" w:cs="Times New Roman CYR"/>
              </w:rPr>
              <w:tab/>
              <w:t xml:space="preserve"> оцiнюємо прийнятнiсть застосованих облiкових полiтик та обгрунтованiсть облiкових оцiнок i вiдповiдних розкриттiв iнформацiї, зроблених управлiнським персоналом;  -</w:t>
            </w:r>
            <w:r>
              <w:rPr>
                <w:rFonts w:ascii="Times New Roman CYR" w:hAnsi="Times New Roman CYR" w:cs="Times New Roman CYR"/>
              </w:rPr>
              <w:tab/>
              <w:t xml:space="preserve"> доходимо висновку щодо прийнятностi використання управлiнським персоналом припущення про безперервнiсть дiяльностi як основи для бухгалтерського облiку та, на основi отриманих аудиторських доказiв, робимо висновок, чи iснує суттєва невизначенiсть щодо подiй або умов, якi поставили б пiд значний сумнiв можливiсть компанiї продовжити безперервну дiяльнiсть. Якщо ми доходимо висновку щодо iснування такої суттєвої невизначеностi, ми повиннi привернути увагу в своєму звiтi аудитора до вiдповiдних розкриттiв iнформацiї у фiнансовiй звiтностi або, якщо такi розкриття iнформацiї є неналежними, модифiкувати свою думку. Нашi висновки грунтуються на аудиторських доказах, отриманих до дати нашого звiту аудитора. Втiм майбутнi подiї або умови можуть примусити компанiю припинити свою дiяльнiсть на безперервнiй основi;  -</w:t>
            </w:r>
            <w:r>
              <w:rPr>
                <w:rFonts w:ascii="Times New Roman CYR" w:hAnsi="Times New Roman CYR" w:cs="Times New Roman CYR"/>
              </w:rPr>
              <w:tab/>
              <w:t xml:space="preserve"> оцiнюємо загальне подання, структуру та змiст фiнансової звiтностi включно з розкриттями iнформацiї, а також те, чи показує фiнансова звiтнiсть операцiї та подiї, що покладенi в основу її складання, так, щоб досягти достовiрного вiдображення.             Ми повiдомляємо тим, кого надiлено найвищими повноваженнями, iнформацiю про запланований обсяг i час проведення аудиту та суттєвi аудиторськi результати, включаючи будь-якi суттєвi недолiки заходiв внутрiшнього контролю, виявленi нами пiд час аудиту.              Ми також надаємо тим, кого надiлено найвищими повноваженнями, твердження, що ми виконали вiдповiднi етичнi вимоги щодо незалежностi, та повiдомляємо їм про всi стосунки й iншi питання, якi могли б обгрунтовано вважатись такими, що впливають на нашу незалежнiсть, а також, де це застосовано, щодо вiдповiдних застережних заходiв.           З перелiку всiх питань, iнформацiя щодо яких надавалась тим, кого надiлено найвищими повноваженнями, ми визначили тi, що мали найбiльше значення пiд час аудиту фiнансової звiтностi поточного перiоду, тобто тi, якi є ключовими питаннями аудиту. Ми описуємо цi питання в своєму звiтi аудитора крiм випадкiв, якщо законодавчим чи регуляторним актом заборонено публiчне розкриття такого питання, або якщо за вкрай виняткових обставин ми визначаємо, що таке питання не слiд висвiтлювати в нашому звiтi, оскiльки негативнi наслiдки такого висвiтлення можуть очiкувано переважити його кориснiсть для iнтересiв громадськостi.             Аудитор не несе вiдповiдальнiсть за достовiрнiсть фiнансової звiтностi пiсля дати пiдписання аудиторського висновку. II.  ЗВIТ ЩОДО ВИМОГ IНШИХ ЗАКОНОДАВЧИХ I НОРМАТИВНИХ АКТIВ             З метою розкриття iнформацiї щодо активiв i зобов'язань Товариства, аудиторами здiйснено деталiзацiю основних статей балансу (звiту про фiнансовий стан) станом на 31 грудня  2020 року. Перевiркою Балансу (Звiту про фiнансовий стан) встановлено, що вступнi залишки на початок звiтного перiоду змiн не зазнали i вiдповiдають даним бухгалтерського облiку по синтетичним та аналiтичним рахункам станом на 01 сiчня 2020 року та iдентичнi показникам оприлюдненої фiнансової звiтностi за попереднiй рiк, що закiнчився на дату 31 грудня 2019 року. Показники балансу на кiнець звiтного року станом на 31 грудня 2020 року сформованi на основi даних бухгалтерського облiку операцiй за 2020 рiк згiдно вимог ПСБО.                     2.1. Розрахунок вартостi чистих активiв Розрахунок вартостi чистих активiв Товариства, здiйснюється для порiвняння вартостi чистих активiв iз розмiром статутного капiталу з метою реалiзацiї положень статтi 155 "Статутний капiтал акцiонерного товариства" Цивiльного кодексу України, зокрема, п. 3: "Якщо пiсля закiнчення другого та кожного наступного фiнансового року вартiсть чистих активiв акцiонерного товариства виявиться меншою вiд статутного капiталу, товариство зобов'язане оголосити про зменшення свого статутного капiталу та зареєструвати вiдповiднi змiни до статуту у встановленому порядку. Якщо вартiсть чистих активiв товариства стає меншою вiд мiнiмального розмiру статутного капiталу, встановленого законом, товариство пiдлягає лiквiдацiї". Вказаний розрахунок було здiйснено у вiдповiдностi з Рiшенням Державної комiсiї з цiнних паперiв та фондового ринку "Про схвалення Методичних рекомендацiй щодо визначення вартостi чистих активiв акцiонерних товариств" вiд 17 листопада 2004 року № 485.           Станом на 31.12.2020 року вартiсть чистих активiв Товариства складає 11825 тис. грн., що бiльше розмiру статутного капiталу на 11403 тис. грн.             Таким чином, вартiсть чистих активiв Товариства вiдповiдає вимогам чинного законодавства.             2.2. Розкриття iнформацiї про подiї, визначених частиною першою статтi 41 Закону України "Про цiннi папери та фондовий ринок"                Особлива iнформацiя вiдсутня.               2.3. Виконання значних правочинiв              Згiдно статтi 70,71 Закону України "Про акцiонернi товариства" № 514-VI значним правочином є: -</w:t>
            </w:r>
            <w:r>
              <w:rPr>
                <w:rFonts w:ascii="Times New Roman CYR" w:hAnsi="Times New Roman CYR" w:cs="Times New Roman CYR"/>
              </w:rPr>
              <w:tab/>
              <w:t>рiшення про вчинення значного правочину, якщо ринкова вартiсть майна або послуг, що є його предметом, становить 25 вiдсоткiв вартостi активiв за даними останньої рiчної фiнансової звiтностi акцiонерного товариства, яке приймається наглядовою радою, або загальними зборами, правочини, щодо яких є заiнтересованiсть (ст. 71 Закону України "Про акцiонернi товариства").              За даними представленої до перевiрки  фiнансової iнформацiї Приватного акцiонерного товариства "АГРОБУДМЕХАНIЗАЦIЯ" станом на 31.12.2020 р. рiчними загальними зборами акцiонерiв вiд 28.04.2020 р. було прийняте рiшення щодо надання згоди на вчинення  значного правочину, а саме:                      - отримання кредиту; гранична сукупнiсть ринкової вартостi правочинiв: 185 124,6 тис.грн.; вартiсть активiв емiтента за даними останньої рiчної фiнансової звiтностi: 194 868 тис.грн.           2.4. Iдентифiкацiї та оцiнки аудитором ризикiв суттєвого викривлення фiнансової звiтностi внаслiдок шахрайства  Пiд час виконання процедур оцiнки ризикiв i пов'язаної з ними дiяльностi для отримання розумiння суб'єкта господарювання та його середовища, включаючи його внутрiшнiй контроль, як цього вимагає МСА 315 "Iдентифiкацiя та оцiнка ризикiв суттєвих викривлень через розумiння суб'єкта господарювання i його середовища", аудитор виконав процедури, необхiднi для отримання iнформацiї, яка використовуватиметься пiд час iдентифiкацiї ризикiв суттєвого викривлення внаслiдок шахрайства. Аудитором були поданi запити до управлiнського персоналу  суб'єкта господарювання, якi на думку аудитора, можуть мати iнформацiю, яка, ймовiрно, може допомогти при iдентифiкацiї ризикiв суттєвого викривлення внаслiдок шахрайства або помилки. Аудитором були проведенi аналiтичнi процедури,  спостереження та перевiрка. Аудитор отримав розумiння  зовнiшнiх чинникiв дiяльностi суб'єкта господарювання, структуру його власностi та корпоративного  управлiння, структуру та спосiб фiнансування, облiкову полiтику, цiлi та стратегiї i пов'язанi з ними бiзнес-ризики, оцiнки та огляди фiнансових результатiв.          Iдентифiкацiя та оцiнка ризикiв суттєвого викривлення фiнансової звiтностi внаслiдок шахрайства проводилась вiдповiдно до МСА 240 "Вiдповiдальнiсть аудитора, що стосується шахрайства, при аудитi фiнансової звiтностi". Пiд час аудиту ми не знайшли фактiв та тверджень про шахрайство, якi б могли привернути увагу аудиторiв. На нашу думку, заходи контролю, якi застосував та яких дотримувався управлiнський персонал товариства для запобiгання й виявлення шахрайства, є вiдповiдними та ефективними.          Аудитор не отримав доказiв обставин, якi можуть свiдчити про можливiсть того, що фiнансова звiтнiсть мiстить суттєве викривлення внаслiдок шахрайства.  III. ЗВIТ  ЩОДО ЗВIТУ ПРО КОРПОРАТИВНЕ УПРАВЛIННЯ             3.1. Iдентифiкацiя та опис iнформацiї про предмет перевiрки    Ми здiйснили виконання завдання з надання обгрунтованої впевненостi, що не є аудитом чи оглядом iсторичної фiнансової iнформацiї, щодо Звiту про корпоративне управлiння Приватного акцiонерного товариства "АГРОБУДМЕХАНIЗАЦIЯ" за 2020 рiк у вiдповiдностi до Мiжнародного стандарту завдань з надання впевненостi 3000 "Завдання з надання впевненостi, що не є аудитом чи оглядом iсторичної фiнансової iнформацiї", а також вимог чинного законодавства України.  Цей звiт мiстить результати виконання завдання з надання обгрунтованої впевненостi щодо iнформацiї, розкритої вiдповiдно до вимог пунктiв 5-9 частини 3 статтi 40-1 Закону України "Про цiннi папери та фондовий ринок" у Звiтi про корпоративне управлiння Приватного акцiонерного товариства "АГРОБУДМЕХАНIЗАЦIЯ" за 2020 рiк та перевiрку iнформацiї, поданої у Звiтi про корпоративне управлiння товариства, розкриття якої вимагається пп. 1-4 частини 3 ст. 40-1 Закону України "Про цiннi папери та фондовий ринок". Звiт про корпоративне управлiння повинен мiстити: 1) посилання на: а) власний кодекс корпоративного управлiння, яким керується емiтент; б) кодекс корпоративного управлiння фондової бiржi, об'єднання юридичних осiб або iнший кодекс корпоративного управлiння, який емiтент добровiльно вирiшив застосовувати; в) всю вiдповiдну iнформацiю про практику корпоративного управлiння, застосовувану понад визначенi законодавством вимоги. Якщо робиться посилання на кодекс корпоративного управлiння, зазначений у пiдпунктах "а" або "б", емiтент також надає посилання, де вiдповiднi тексти перебувають у публiчному доступi. Якщо робиться посилання на iнформацiю, зазначену в пiдпунктi "в", емiтент надає iнформацiю про практику корпоративного управлiння; 2) якщо емiтент вiдхиляється вiд положень кодексу корпоративного управлiння, зазначеного в пiдпунктах "а" або "б" пункту 1 цiєї частини, - пояснення iз сторони емiтента, вiд яких частин кодексу корпоративного управлiння такий емiтент вiдхиляється i причини таких вiдхилень. Якщо емiтент прийняв рiшення не застосовувати деякi положення кодексу корпоративного управлiння, зазначеного в пiдпунктах "а" або "б" пункту 1 цiєї частини, вiн обгрунтовує причини таких дiй; 3) iнформацiю про проведенi загальнi збори акцiонерiв (учасникiв) та загальний опис прийнятих на зборах рiшень; 4) персональний склад наглядової ради та колегiального виконавчого органу (за наявностi) емiтента, їхнiх комiтетiв (за наявностi), iнформацiю про проведенi засiдання та загальний опис прийнятих на них рiшень; 5) опис основних характеристик систем внутрiшнього контролю i управлiння ризиками емiтента; 6) перелiк осiб, якi прямо або опосередковано є власниками значного пакета акцiй емiтента; 7) iнформацiю про будь-якi обмеження прав участi та голосування акцiонерiв (учасникiв) на загальних зборах емiтента; 8) порядок призначення та звiльнення посадових осiб емiтента; 9) повноваження посадових осiб емiтента.          Нами перевiренi наступнi документи, якi наданi товариством за 2020 р.:           1. Статут.           2. Протоколи Наглядової ради.           3. Протокол загальних зборiв, якi вiдбулися у звiтному перiодi.           4. Внутрiшнi положення, що стосуються корпоративного управлiння.           5. Документи, що пiдтверджують обрання посадових осiб товариства.           6. Данi щодо реєстру акцiонерiв товариства.           7. Iншi  документи, що стосуються предмету перевiрки.              3.2. Визначення критерiїв  Критерiї, за якими перевiряється данi Звiту про корпоративне управлiння, мiстяться у  п. 63 Мiжнародного стандарту завдання з надання впевненостi 3000, Закону України "Про цiннi папери та фондовий ринок" вiд 23.02.2006 № 3480-IV та полягають у пiдтвердженнi достовiрностi iнформацiї у Звiтi про корпоративне управлiння, а саме чи складений вiн на пiдставi даних Статуту, Протоколiв, Положень та iнших документiв з корпоративного управлiння товариства.          Звiт про корпоративне управлiння складається у складi рiчного Звiту керiвництва для цiлей подання регулярної (рiчної) iнформацiї про емiтента, яка розкривається шляхом подання до Нацiональної комiсiї з цiнних паперiв та фондового ринку вiдповiдно до вимог статтi 40- 1Закону України " Про цiннi папери та фондовий ринок".            3.3. Вiдповiдальнiсть управлiнського персоналу за складання та достовiрне подання Звiту про корпоративне управлiння   Управлiнський персонал Приватного акцiонерного товариства "АГРОБУДМЕХАНIЗАЦIЯ" несе вiдповiдальнiсть за складання Звiту про корпоративне управлiння вiдповiдно до чинного законодавства України та Закону України "Про цiннi папери та фондовий ринок" вiд 23.02.2006 № 3480-IV, а також за такий внутрiшнiй контроль, який вiн вважає необхiдним для складання Звiту про корпоративне управлiння, що не мiстить суттєвих викривлень та помилок.               3.4. Вiдповiдальнiсть аудитора за завдання з надання впевненостi            Нашою вiдповiдальнiстю є надання обгрунтованої впевненостi щодо iнформацiї, зазначеної у Звiтi про корпоративне управлiння, на основi результатiв виконання процедур з надання впевненостi. Ми провели нашу перевiрку у вiдповiдностi з вимогами Мiжнародного стандарту завдання з надання впевненостi 3000 "Завдання з надання впевненостi, що не є аудитом чи оглядом iсторичної фiнансової iнформацiї".          Завдання передбачало виконання процедур для отримання розумних пiдтверджень щодо вiдсутностi у наданiй товариством iнформацiї суттєвих невiдповiдностей критерiям перевiрки; аудиторських доказiв щодо того, чи складений Звiт з корпоративного управлiння мiстить iнформацiю, що не суперечить даним Статуту, Протоколiв, Положень та iнших документiв з корпоративного управлiння, а також  дотримання нормативних вимог щодо дiяльностi акцiонерного товариства.          Вибiр процедур залежав вiд судження аудитора, якi передбачали: отримання розумiння предмету перевiрки та iнших обставин завдання, у тому числi внутрiшнього контролю; оцiнку ризикiв можливого суттєвого викривлення iнформацiї про предмет перевiрки; дiї у вiдповiдь на оцiненi ризики, в тому числi розробку вiдповiдних аудиторських процедур, якi передбачали перевiрку, пiдтвердження, запити; оцiнку достатностi та вiдповiдностi отриманих доказiв.         Оскiльки метою  перелiчених  вище процедур є надання впевненостi щодо Звiту з корпоративного управлiння, даний звiт з надання впевненостi обмежується тiльки думкою щодо Звiту з корпоративного управлiння  та не стосується висловлення впевненостi стосовно фiнансової звiтностi в цiлому.         Ми вважаємо, що отримали достатнi та вiдповiднi аудиторськi докази для висловлювання думки.                       3.5. Огляд виконаної роботи                Здiйсненi процедури отримання аудиторських доказiв, зокрема, але не виключно, були направленi на:           - отримання розумiння товариства як середовища функцiонування системи корпоративного управлiння;           - дослiдження прийнятих внутрiшнiх документiв, якi регламентують функцiонування органiв корпоративного управлiння;           - дослiдження змiсту функцiй та повноважень загальних зборiв;           - дослiдження форми функцiонування органу перевiрки фiнансово-господарської дiяльностi товариства: наявнiсть окремої посади ревiзора або ревiзiйної комiсiї;           - дослiдження повноважень та форми функцiонування виконавчого органу:           - наявнiсть колегiального або одноосiбного виконавчого органу Товариства.          В ходi виконання завдання аудитор отримав докази щодо iнформацiї, зазначеної у Звiтi про корпоративне управлiння Приватного акцiонерного товариства "АГРОБУДМЕХАНIЗАЦIЯ" в складi Звiту керiвництва за 2020 рiк. .                         3.6. Думка щодо Звiту про корпоративне управлiння            На нашу думку, iнформацiя Звiту про корпоративне управлiння Приватного акцiонерного товариства "АГРОБУДМЕХАНIЗАЦIЯ" за 2020 рiк, що додається, складена в усiх суттєвих аспектах, вiдповiдно до вимог статтi 40-1 Закону України "Про цiннi папери та фондовий ринок" вiд 23.02.2006 № 3480-IV та не суперечить законодавству України.  3.7 Основнi вiдомостi про аудиторську фiрму  Повна назва пiдприємства</w:t>
            </w:r>
            <w:r>
              <w:rPr>
                <w:rFonts w:ascii="Times New Roman CYR" w:hAnsi="Times New Roman CYR" w:cs="Times New Roman CYR"/>
              </w:rPr>
              <w:tab/>
              <w:t>Приватне пiдприємство "IНФОРМАУДИТ" Код за ЄДРПОУ</w:t>
            </w:r>
            <w:r>
              <w:rPr>
                <w:rFonts w:ascii="Times New Roman CYR" w:hAnsi="Times New Roman CYR" w:cs="Times New Roman CYR"/>
              </w:rPr>
              <w:tab/>
              <w:t>31058616 Юридична адреса</w:t>
            </w:r>
            <w:r>
              <w:rPr>
                <w:rFonts w:ascii="Times New Roman CYR" w:hAnsi="Times New Roman CYR" w:cs="Times New Roman CYR"/>
              </w:rPr>
              <w:tab/>
              <w:t>03057, м. Київ, вул. Смоленська, 6, кiмната 101 Свiдоцтво про внесення в реєстр суб'єктiв аудиторської дiяльностi</w:t>
            </w:r>
            <w:r>
              <w:rPr>
                <w:rFonts w:ascii="Times New Roman CYR" w:hAnsi="Times New Roman CYR" w:cs="Times New Roman CYR"/>
              </w:rPr>
              <w:tab/>
              <w:t>включено до Реєстру аудиторiв та суб'єктiв аудиторської дiяльностi 31.10.2018 року за № 4712 Сертифiкат аудитора</w:t>
            </w:r>
            <w:r>
              <w:rPr>
                <w:rFonts w:ascii="Times New Roman CYR" w:hAnsi="Times New Roman CYR" w:cs="Times New Roman CYR"/>
              </w:rPr>
              <w:tab/>
              <w:t>Прокопчук Костянтин Юрiйович сертифiкат  серiя А № 005483 вiд 22.07.2003 р., термiн дiї до 22.07.2023 р.               3.8 Основнi вiдомостi про умови договору на проведення аудиту  - дата та номер договору на проведення аудиту</w:t>
            </w:r>
            <w:r>
              <w:rPr>
                <w:rFonts w:ascii="Times New Roman CYR" w:hAnsi="Times New Roman CYR" w:cs="Times New Roman CYR"/>
              </w:rPr>
              <w:tab/>
              <w:t>№ 21/26 вiд 22 березня 2021 р. - дата початку та дата закiнчення проведення аудиту</w:t>
            </w:r>
            <w:r>
              <w:rPr>
                <w:rFonts w:ascii="Times New Roman CYR" w:hAnsi="Times New Roman CYR" w:cs="Times New Roman CYR"/>
              </w:rPr>
              <w:tab/>
              <w:t>22.03.2021 р. - 22.04.2021 р.                               Дата аудиторського звiту - 22 квiтня 2021 року               Директор  ПП "IНФОРМАУДИТ"                                                            К.Ю. Прокопчук=+-+=д/н</w:t>
            </w:r>
          </w:p>
        </w:tc>
      </w:tr>
    </w:tbl>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XVI. Твердження щодо річної інформації</w:t>
      </w:r>
    </w:p>
    <w:p w:rsidR="00305EED" w:rsidRDefault="00305EED">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Голова правлiння Емiтента Шалiмов Володимир Iллiч, який здiйснює управлiнськi функцiї та пiдписує рiчну iнформацiю емiтента, стверджує про те, що, наскiльки це йому вiдомо, рiчна фiнансова звiтнiсть за 2020 рiк,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також про те, що звiт керiвництва включає достовiрне та об'єктивне подання iнформацiї про розвиток i здiйснення господарської дiяльностi i стан емiтента, разом з описом основних ризикiв та невизначеностей, з якими вони стикаються у своїй господарськiй дiяльностi.</w:t>
      </w:r>
    </w:p>
    <w:p w:rsidR="00305EED" w:rsidRDefault="00305EED">
      <w:pPr>
        <w:widowControl w:val="0"/>
        <w:autoSpaceDE w:val="0"/>
        <w:autoSpaceDN w:val="0"/>
        <w:adjustRightInd w:val="0"/>
        <w:rPr>
          <w:rFonts w:ascii="Times New Roman CYR" w:hAnsi="Times New Roman CYR" w:cs="Times New Roman CYR"/>
        </w:rPr>
      </w:pPr>
    </w:p>
    <w:p w:rsidR="00305EED" w:rsidRDefault="00305EED">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XIX. Відомості щодо особливої інформації та інформації про іпотечні цінні папери, що виникала протягом звітного періоду</w:t>
      </w:r>
    </w:p>
    <w:tbl>
      <w:tblPr>
        <w:tblW w:w="0" w:type="auto"/>
        <w:tblInd w:w="2" w:type="dxa"/>
        <w:tblBorders>
          <w:top w:val="single" w:sz="6" w:space="0" w:color="auto"/>
          <w:left w:val="single" w:sz="6" w:space="0" w:color="auto"/>
          <w:bottom w:val="single" w:sz="6" w:space="0" w:color="auto"/>
          <w:right w:val="single" w:sz="6" w:space="0" w:color="auto"/>
        </w:tblBorders>
        <w:tblLayout w:type="fixed"/>
        <w:tblLook w:val="0000"/>
      </w:tblPr>
      <w:tblGrid>
        <w:gridCol w:w="1450"/>
        <w:gridCol w:w="2250"/>
        <w:gridCol w:w="6300"/>
      </w:tblGrid>
      <w:tr w:rsidR="00305EED">
        <w:trPr>
          <w:trHeight w:val="200"/>
        </w:trPr>
        <w:tc>
          <w:tcPr>
            <w:tcW w:w="14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Дата виникнення події</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Дата оприлюднення Повідомлення (Повідомлення про інформацію) у загальнодоступній інформаційній базі даних НКЦПФР або через особу, яка провадить діяльність з оприлюднення регульованої інформації від імені учасників фондового ринку</w:t>
            </w:r>
          </w:p>
        </w:tc>
        <w:tc>
          <w:tcPr>
            <w:tcW w:w="63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b/>
                <w:bCs/>
                <w:sz w:val="22"/>
                <w:szCs w:val="22"/>
              </w:rPr>
            </w:pPr>
            <w:r>
              <w:rPr>
                <w:rFonts w:ascii="Times New Roman CYR" w:hAnsi="Times New Roman CYR" w:cs="Times New Roman CYR"/>
                <w:b/>
                <w:bCs/>
                <w:sz w:val="22"/>
                <w:szCs w:val="22"/>
              </w:rPr>
              <w:t>Вид інформації</w:t>
            </w:r>
          </w:p>
        </w:tc>
      </w:tr>
      <w:tr w:rsidR="00305EED">
        <w:trPr>
          <w:trHeight w:val="200"/>
        </w:trPr>
        <w:tc>
          <w:tcPr>
            <w:tcW w:w="1450" w:type="dxa"/>
            <w:tcBorders>
              <w:top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1</w:t>
            </w:r>
          </w:p>
        </w:tc>
        <w:tc>
          <w:tcPr>
            <w:tcW w:w="2250" w:type="dxa"/>
            <w:tcBorders>
              <w:top w:val="single" w:sz="6" w:space="0" w:color="auto"/>
              <w:left w:val="single" w:sz="6" w:space="0" w:color="auto"/>
              <w:bottom w:val="single" w:sz="6" w:space="0" w:color="auto"/>
              <w:right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w:t>
            </w:r>
          </w:p>
        </w:tc>
        <w:tc>
          <w:tcPr>
            <w:tcW w:w="6300" w:type="dxa"/>
            <w:tcBorders>
              <w:top w:val="single" w:sz="6" w:space="0" w:color="auto"/>
              <w:left w:val="single" w:sz="6" w:space="0" w:color="auto"/>
              <w:bottom w:val="single" w:sz="6" w:space="0" w:color="auto"/>
            </w:tcBorders>
            <w:vAlign w:val="center"/>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3</w:t>
            </w:r>
          </w:p>
        </w:tc>
      </w:tr>
      <w:tr w:rsidR="00305EED">
        <w:trPr>
          <w:trHeight w:val="200"/>
        </w:trPr>
        <w:tc>
          <w:tcPr>
            <w:tcW w:w="1450" w:type="dxa"/>
            <w:tcBorders>
              <w:top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28.04.2020</w:t>
            </w:r>
          </w:p>
        </w:tc>
        <w:tc>
          <w:tcPr>
            <w:tcW w:w="2250" w:type="dxa"/>
            <w:tcBorders>
              <w:top w:val="single" w:sz="6" w:space="0" w:color="auto"/>
              <w:left w:val="single" w:sz="6" w:space="0" w:color="auto"/>
              <w:bottom w:val="single" w:sz="6" w:space="0" w:color="auto"/>
              <w:right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p>
        </w:tc>
        <w:tc>
          <w:tcPr>
            <w:tcW w:w="6300" w:type="dxa"/>
            <w:tcBorders>
              <w:top w:val="single" w:sz="6" w:space="0" w:color="auto"/>
              <w:left w:val="single" w:sz="6" w:space="0" w:color="auto"/>
              <w:bottom w:val="single" w:sz="6" w:space="0" w:color="auto"/>
            </w:tcBorders>
          </w:tcPr>
          <w:p w:rsidR="00305EED" w:rsidRDefault="00305EED">
            <w:pPr>
              <w:widowControl w:val="0"/>
              <w:autoSpaceDE w:val="0"/>
              <w:autoSpaceDN w:val="0"/>
              <w:adjustRightInd w:val="0"/>
              <w:jc w:val="center"/>
              <w:rPr>
                <w:rFonts w:ascii="Times New Roman CYR" w:hAnsi="Times New Roman CYR" w:cs="Times New Roman CYR"/>
                <w:sz w:val="22"/>
                <w:szCs w:val="22"/>
              </w:rPr>
            </w:pPr>
            <w:r>
              <w:rPr>
                <w:rFonts w:ascii="Times New Roman CYR" w:hAnsi="Times New Roman CYR" w:cs="Times New Roman CYR"/>
                <w:sz w:val="22"/>
                <w:szCs w:val="22"/>
              </w:rPr>
              <w:t>Відомості про прийняття рішення про попереднє надання згоди на вчинення значних правочинів</w:t>
            </w:r>
          </w:p>
        </w:tc>
      </w:tr>
    </w:tbl>
    <w:p w:rsidR="00305EED" w:rsidRDefault="00305EED">
      <w:pPr>
        <w:widowControl w:val="0"/>
        <w:autoSpaceDE w:val="0"/>
        <w:autoSpaceDN w:val="0"/>
        <w:adjustRightInd w:val="0"/>
        <w:rPr>
          <w:rFonts w:ascii="Times New Roman CYR" w:hAnsi="Times New Roman CYR" w:cs="Times New Roman CYR"/>
          <w:sz w:val="22"/>
          <w:szCs w:val="22"/>
        </w:rPr>
      </w:pPr>
    </w:p>
    <w:sectPr w:rsidR="00305EED" w:rsidSect="00DE615D">
      <w:pgSz w:w="12240" w:h="15840"/>
      <w:pgMar w:top="850" w:right="850" w:bottom="850" w:left="1400" w:header="708" w:footer="708"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64C"/>
    <w:rsid w:val="000911CD"/>
    <w:rsid w:val="00305EED"/>
    <w:rsid w:val="004324C3"/>
    <w:rsid w:val="007576CD"/>
    <w:rsid w:val="00812439"/>
    <w:rsid w:val="00AE464C"/>
    <w:rsid w:val="00DE615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15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68</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subject/>
  <dc:creator>Oleg</dc:creator>
  <cp:keywords/>
  <dc:description/>
  <cp:lastModifiedBy>SNG</cp:lastModifiedBy>
  <cp:revision>3</cp:revision>
  <dcterms:created xsi:type="dcterms:W3CDTF">2021-04-29T14:57:00Z</dcterms:created>
  <dcterms:modified xsi:type="dcterms:W3CDTF">2021-04-30T01:18:00Z</dcterms:modified>
</cp:coreProperties>
</file>